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9ADD9" w14:textId="6C175E63" w:rsidR="00DA3FAC" w:rsidRDefault="00E34A56" w:rsidP="00347EC4">
      <w:pPr>
        <w:jc w:val="center"/>
      </w:pPr>
      <w:r>
        <w:rPr>
          <w:noProof/>
          <w:lang w:val="en-US"/>
        </w:rPr>
        <w:drawing>
          <wp:inline distT="114300" distB="114300" distL="114300" distR="114300" wp14:anchorId="53C8DF5F" wp14:editId="5C2E0F4F">
            <wp:extent cx="2250281" cy="8334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50281" cy="833438"/>
                    </a:xfrm>
                    <a:prstGeom prst="rect">
                      <a:avLst/>
                    </a:prstGeom>
                    <a:ln/>
                  </pic:spPr>
                </pic:pic>
              </a:graphicData>
            </a:graphic>
          </wp:inline>
        </w:drawing>
      </w:r>
      <w:r>
        <w:rPr>
          <w:noProof/>
          <w:lang w:val="en-US"/>
        </w:rPr>
        <w:drawing>
          <wp:inline distT="114300" distB="114300" distL="114300" distR="114300" wp14:anchorId="6E0E34B2" wp14:editId="32087931">
            <wp:extent cx="1619250" cy="7858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619250" cy="785813"/>
                    </a:xfrm>
                    <a:prstGeom prst="rect">
                      <a:avLst/>
                    </a:prstGeom>
                    <a:ln/>
                  </pic:spPr>
                </pic:pic>
              </a:graphicData>
            </a:graphic>
          </wp:inline>
        </w:drawing>
      </w:r>
      <w:r>
        <w:rPr>
          <w:noProof/>
          <w:lang w:val="en-US"/>
        </w:rPr>
        <w:drawing>
          <wp:inline distT="114300" distB="114300" distL="114300" distR="114300" wp14:anchorId="0A1E0F44" wp14:editId="3E3C5B9A">
            <wp:extent cx="2581275" cy="7762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581275" cy="776288"/>
                    </a:xfrm>
                    <a:prstGeom prst="rect">
                      <a:avLst/>
                    </a:prstGeom>
                    <a:ln/>
                  </pic:spPr>
                </pic:pic>
              </a:graphicData>
            </a:graphic>
          </wp:inline>
        </w:drawing>
      </w:r>
    </w:p>
    <w:p w14:paraId="578CE47D" w14:textId="77777777" w:rsidR="00347EC4" w:rsidRPr="00347EC4" w:rsidRDefault="00347EC4" w:rsidP="00347EC4">
      <w:pPr>
        <w:jc w:val="center"/>
        <w:rPr>
          <w:rFonts w:asciiTheme="majorHAnsi" w:hAnsiTheme="majorHAnsi" w:cstheme="majorHAnsi"/>
        </w:rPr>
      </w:pPr>
    </w:p>
    <w:p w14:paraId="41A7F054" w14:textId="68742A41" w:rsidR="004B10FA" w:rsidRDefault="00E34A56" w:rsidP="00AC6D88">
      <w:pPr>
        <w:ind w:right="-18"/>
        <w:jc w:val="center"/>
        <w:outlineLvl w:val="0"/>
        <w:rPr>
          <w:rFonts w:asciiTheme="majorHAnsi" w:hAnsiTheme="majorHAnsi" w:cstheme="majorHAnsi"/>
          <w:b/>
          <w:sz w:val="24"/>
        </w:rPr>
      </w:pPr>
      <w:r w:rsidRPr="00347EC4">
        <w:rPr>
          <w:rFonts w:asciiTheme="majorHAnsi" w:hAnsiTheme="majorHAnsi" w:cstheme="majorHAnsi"/>
          <w:b/>
          <w:sz w:val="24"/>
        </w:rPr>
        <w:t>Position Statement on Student Services Personnel, School Safety and Student Mental Health</w:t>
      </w:r>
    </w:p>
    <w:p w14:paraId="4B85F267" w14:textId="77777777" w:rsidR="00347EC4" w:rsidRPr="00347EC4" w:rsidRDefault="00347EC4" w:rsidP="00AC6D88">
      <w:pPr>
        <w:ind w:right="-18"/>
        <w:jc w:val="center"/>
        <w:rPr>
          <w:rFonts w:asciiTheme="majorHAnsi" w:hAnsiTheme="majorHAnsi" w:cstheme="majorHAnsi"/>
        </w:rPr>
      </w:pPr>
    </w:p>
    <w:p w14:paraId="62BB98B6" w14:textId="038065F7" w:rsidR="004B10FA" w:rsidRDefault="00E34A56" w:rsidP="00221F81">
      <w:pPr>
        <w:ind w:right="-18"/>
        <w:jc w:val="both"/>
        <w:rPr>
          <w:rFonts w:ascii="Calibri" w:eastAsia="Calibri" w:hAnsi="Calibri" w:cs="Calibri"/>
        </w:rPr>
      </w:pPr>
      <w:r>
        <w:rPr>
          <w:rFonts w:ascii="Calibri" w:eastAsia="Calibri" w:hAnsi="Calibri" w:cs="Calibri"/>
        </w:rPr>
        <w:t xml:space="preserve">School Counselors, School Psychologists, and School Social Workers </w:t>
      </w:r>
      <w:r w:rsidR="00DA3FAC">
        <w:rPr>
          <w:rFonts w:ascii="Calibri" w:eastAsia="Calibri" w:hAnsi="Calibri" w:cs="Calibri"/>
        </w:rPr>
        <w:t xml:space="preserve">are frontline behavioral </w:t>
      </w:r>
      <w:r w:rsidR="00347EC4">
        <w:rPr>
          <w:rFonts w:ascii="Calibri" w:eastAsia="Calibri" w:hAnsi="Calibri" w:cs="Calibri"/>
        </w:rPr>
        <w:t xml:space="preserve">and mental health providers who collaborate to </w:t>
      </w:r>
      <w:r w:rsidR="00DA3FAC">
        <w:rPr>
          <w:rFonts w:ascii="Calibri" w:eastAsia="Calibri" w:hAnsi="Calibri" w:cs="Calibri"/>
        </w:rPr>
        <w:t xml:space="preserve">deliver direct student </w:t>
      </w:r>
      <w:r>
        <w:rPr>
          <w:rFonts w:ascii="Calibri" w:eastAsia="Calibri" w:hAnsi="Calibri" w:cs="Calibri"/>
        </w:rPr>
        <w:t xml:space="preserve">services </w:t>
      </w:r>
      <w:r w:rsidR="00DA3FAC">
        <w:rPr>
          <w:rFonts w:ascii="Calibri" w:eastAsia="Calibri" w:hAnsi="Calibri" w:cs="Calibri"/>
        </w:rPr>
        <w:t xml:space="preserve">to support the </w:t>
      </w:r>
      <w:r w:rsidR="00B56C98">
        <w:rPr>
          <w:rFonts w:ascii="Calibri" w:eastAsia="Calibri" w:hAnsi="Calibri" w:cs="Calibri"/>
        </w:rPr>
        <w:t>social</w:t>
      </w:r>
      <w:r w:rsidR="00AC6D88">
        <w:rPr>
          <w:rFonts w:ascii="Calibri" w:eastAsia="Calibri" w:hAnsi="Calibri" w:cs="Calibri"/>
        </w:rPr>
        <w:t>/</w:t>
      </w:r>
      <w:r w:rsidR="00B56C98">
        <w:rPr>
          <w:rFonts w:ascii="Calibri" w:eastAsia="Calibri" w:hAnsi="Calibri" w:cs="Calibri"/>
        </w:rPr>
        <w:t xml:space="preserve">emotional </w:t>
      </w:r>
      <w:r w:rsidR="00DA3FAC">
        <w:rPr>
          <w:rFonts w:ascii="Calibri" w:eastAsia="Calibri" w:hAnsi="Calibri" w:cs="Calibri"/>
        </w:rPr>
        <w:t>development and academic achi</w:t>
      </w:r>
      <w:r w:rsidR="00B56C98">
        <w:rPr>
          <w:rFonts w:ascii="Calibri" w:eastAsia="Calibri" w:hAnsi="Calibri" w:cs="Calibri"/>
        </w:rPr>
        <w:t>e</w:t>
      </w:r>
      <w:r w:rsidR="00DA3FAC">
        <w:rPr>
          <w:rFonts w:ascii="Calibri" w:eastAsia="Calibri" w:hAnsi="Calibri" w:cs="Calibri"/>
        </w:rPr>
        <w:t>vemen</w:t>
      </w:r>
      <w:r w:rsidR="00D03465">
        <w:rPr>
          <w:rFonts w:ascii="Calibri" w:eastAsia="Calibri" w:hAnsi="Calibri" w:cs="Calibri"/>
        </w:rPr>
        <w:t xml:space="preserve">t of </w:t>
      </w:r>
      <w:r w:rsidR="00B07CF1">
        <w:rPr>
          <w:rFonts w:ascii="Calibri" w:eastAsia="Calibri" w:hAnsi="Calibri" w:cs="Calibri"/>
        </w:rPr>
        <w:t xml:space="preserve">all </w:t>
      </w:r>
      <w:r w:rsidR="00D03465">
        <w:rPr>
          <w:rFonts w:ascii="Calibri" w:eastAsia="Calibri" w:hAnsi="Calibri" w:cs="Calibri"/>
        </w:rPr>
        <w:t>children and adol</w:t>
      </w:r>
      <w:r w:rsidR="00B56C98">
        <w:rPr>
          <w:rFonts w:ascii="Calibri" w:eastAsia="Calibri" w:hAnsi="Calibri" w:cs="Calibri"/>
        </w:rPr>
        <w:t>e</w:t>
      </w:r>
      <w:r w:rsidR="00D03465">
        <w:rPr>
          <w:rFonts w:ascii="Calibri" w:eastAsia="Calibri" w:hAnsi="Calibri" w:cs="Calibri"/>
        </w:rPr>
        <w:t xml:space="preserve">scents. </w:t>
      </w:r>
      <w:r w:rsidR="00B07CF1">
        <w:rPr>
          <w:rFonts w:ascii="Calibri" w:eastAsia="Calibri" w:hAnsi="Calibri" w:cs="Calibri"/>
        </w:rPr>
        <w:t>Collec</w:t>
      </w:r>
      <w:r w:rsidR="00E2305C">
        <w:rPr>
          <w:rFonts w:ascii="Calibri" w:eastAsia="Calibri" w:hAnsi="Calibri" w:cs="Calibri"/>
        </w:rPr>
        <w:t>t</w:t>
      </w:r>
      <w:r w:rsidR="00B07CF1">
        <w:rPr>
          <w:rFonts w:ascii="Calibri" w:eastAsia="Calibri" w:hAnsi="Calibri" w:cs="Calibri"/>
        </w:rPr>
        <w:t>i</w:t>
      </w:r>
      <w:r w:rsidR="00E2305C">
        <w:rPr>
          <w:rFonts w:ascii="Calibri" w:eastAsia="Calibri" w:hAnsi="Calibri" w:cs="Calibri"/>
        </w:rPr>
        <w:t xml:space="preserve">vely, </w:t>
      </w:r>
      <w:r w:rsidR="00D03465">
        <w:rPr>
          <w:rFonts w:ascii="Calibri" w:eastAsia="Calibri" w:hAnsi="Calibri" w:cs="Calibri"/>
        </w:rPr>
        <w:t xml:space="preserve">these student support personnel function as part of </w:t>
      </w:r>
      <w:r w:rsidR="00E2305C">
        <w:rPr>
          <w:rFonts w:ascii="Calibri" w:eastAsia="Calibri" w:hAnsi="Calibri" w:cs="Calibri"/>
        </w:rPr>
        <w:t>school-based mental health team</w:t>
      </w:r>
      <w:r w:rsidR="00D03465">
        <w:rPr>
          <w:rFonts w:ascii="Calibri" w:eastAsia="Calibri" w:hAnsi="Calibri" w:cs="Calibri"/>
        </w:rPr>
        <w:t>s</w:t>
      </w:r>
      <w:r w:rsidR="00E2305C">
        <w:rPr>
          <w:rFonts w:ascii="Calibri" w:eastAsia="Calibri" w:hAnsi="Calibri" w:cs="Calibri"/>
        </w:rPr>
        <w:t xml:space="preserve"> to:</w:t>
      </w:r>
    </w:p>
    <w:p w14:paraId="51DE61EC" w14:textId="37EC5C6D" w:rsidR="00EF2544" w:rsidRPr="00D03465" w:rsidRDefault="00D03465" w:rsidP="00221F81">
      <w:pPr>
        <w:pStyle w:val="ListParagraph"/>
        <w:numPr>
          <w:ilvl w:val="0"/>
          <w:numId w:val="2"/>
        </w:numPr>
        <w:spacing w:after="160" w:line="259" w:lineRule="auto"/>
        <w:ind w:left="720" w:right="-18"/>
        <w:jc w:val="both"/>
        <w:rPr>
          <w:rFonts w:ascii="Calibri" w:eastAsia="Calibri" w:hAnsi="Calibri" w:cs="Calibri"/>
        </w:rPr>
      </w:pPr>
      <w:r>
        <w:rPr>
          <w:rFonts w:ascii="Calibri" w:eastAsia="Calibri" w:hAnsi="Calibri" w:cs="Calibri"/>
        </w:rPr>
        <w:t>I</w:t>
      </w:r>
      <w:r w:rsidR="00EF2544" w:rsidRPr="00D03465">
        <w:rPr>
          <w:rFonts w:ascii="Calibri" w:eastAsia="Calibri" w:hAnsi="Calibri" w:cs="Calibri"/>
        </w:rPr>
        <w:t xml:space="preserve">mplement </w:t>
      </w:r>
      <w:r w:rsidR="00E2305C" w:rsidRPr="00D03465">
        <w:rPr>
          <w:rFonts w:ascii="Calibri" w:eastAsia="Calibri" w:hAnsi="Calibri" w:cs="Calibri"/>
        </w:rPr>
        <w:t>universal, t</w:t>
      </w:r>
      <w:r w:rsidR="00EF2544" w:rsidRPr="00D03465">
        <w:rPr>
          <w:rFonts w:ascii="Calibri" w:eastAsia="Calibri" w:hAnsi="Calibri" w:cs="Calibri"/>
        </w:rPr>
        <w:t>argeted</w:t>
      </w:r>
      <w:r w:rsidR="00B56C98">
        <w:rPr>
          <w:rFonts w:ascii="Calibri" w:eastAsia="Calibri" w:hAnsi="Calibri" w:cs="Calibri"/>
        </w:rPr>
        <w:t>,</w:t>
      </w:r>
      <w:r w:rsidR="00EF2544" w:rsidRPr="00D03465">
        <w:rPr>
          <w:rFonts w:ascii="Calibri" w:eastAsia="Calibri" w:hAnsi="Calibri" w:cs="Calibri"/>
        </w:rPr>
        <w:t xml:space="preserve"> and individual supports </w:t>
      </w:r>
      <w:r>
        <w:rPr>
          <w:rFonts w:ascii="Calibri" w:eastAsia="Calibri" w:hAnsi="Calibri" w:cs="Calibri"/>
        </w:rPr>
        <w:t>within a</w:t>
      </w:r>
      <w:r w:rsidR="00EF2544" w:rsidRPr="00D03465">
        <w:rPr>
          <w:rFonts w:ascii="Calibri" w:eastAsia="Calibri" w:hAnsi="Calibri" w:cs="Calibri"/>
        </w:rPr>
        <w:t xml:space="preserve"> multi-tiered framework</w:t>
      </w:r>
      <w:r w:rsidR="00AC6D88">
        <w:rPr>
          <w:rFonts w:ascii="Calibri" w:eastAsia="Calibri" w:hAnsi="Calibri" w:cs="Calibri"/>
        </w:rPr>
        <w:t>;</w:t>
      </w:r>
    </w:p>
    <w:p w14:paraId="5B5F7279" w14:textId="54393281" w:rsidR="00EF2544" w:rsidRPr="00D03465" w:rsidRDefault="00E2305C" w:rsidP="00221F81">
      <w:pPr>
        <w:pStyle w:val="ListParagraph"/>
        <w:numPr>
          <w:ilvl w:val="0"/>
          <w:numId w:val="2"/>
        </w:numPr>
        <w:spacing w:after="160" w:line="259" w:lineRule="auto"/>
        <w:ind w:left="720" w:right="-18"/>
        <w:jc w:val="both"/>
        <w:rPr>
          <w:rFonts w:ascii="Calibri" w:eastAsia="Calibri" w:hAnsi="Calibri" w:cs="Calibri"/>
        </w:rPr>
      </w:pPr>
      <w:r w:rsidRPr="00D03465">
        <w:rPr>
          <w:rFonts w:ascii="Calibri" w:eastAsia="Calibri" w:hAnsi="Calibri" w:cs="Calibri"/>
        </w:rPr>
        <w:t xml:space="preserve">Deliver </w:t>
      </w:r>
      <w:r w:rsidR="00EF2544" w:rsidRPr="00D03465">
        <w:rPr>
          <w:rFonts w:ascii="Calibri" w:eastAsia="Calibri" w:hAnsi="Calibri" w:cs="Calibri"/>
        </w:rPr>
        <w:t xml:space="preserve">prevention, intervention, and </w:t>
      </w:r>
      <w:proofErr w:type="spellStart"/>
      <w:r w:rsidR="00EF2544" w:rsidRPr="00D03465">
        <w:rPr>
          <w:rFonts w:ascii="Calibri" w:eastAsia="Calibri" w:hAnsi="Calibri" w:cs="Calibri"/>
        </w:rPr>
        <w:t>postvention</w:t>
      </w:r>
      <w:proofErr w:type="spellEnd"/>
      <w:r w:rsidR="00EF2544" w:rsidRPr="00D03465">
        <w:rPr>
          <w:rFonts w:ascii="Calibri" w:eastAsia="Calibri" w:hAnsi="Calibri" w:cs="Calibri"/>
        </w:rPr>
        <w:t xml:space="preserve"> </w:t>
      </w:r>
      <w:r w:rsidRPr="00D03465">
        <w:rPr>
          <w:rFonts w:ascii="Calibri" w:eastAsia="Calibri" w:hAnsi="Calibri" w:cs="Calibri"/>
        </w:rPr>
        <w:t xml:space="preserve">services </w:t>
      </w:r>
      <w:r w:rsidR="00EF2544" w:rsidRPr="00D03465">
        <w:rPr>
          <w:rFonts w:ascii="Calibri" w:eastAsia="Calibri" w:hAnsi="Calibri" w:cs="Calibri"/>
        </w:rPr>
        <w:t xml:space="preserve">as part of comprehensive school safety </w:t>
      </w:r>
      <w:r w:rsidR="00AD4EF2" w:rsidRPr="00D03465">
        <w:rPr>
          <w:rFonts w:ascii="Calibri" w:eastAsia="Calibri" w:hAnsi="Calibri" w:cs="Calibri"/>
        </w:rPr>
        <w:t>plans</w:t>
      </w:r>
      <w:r w:rsidR="00AC6D88">
        <w:rPr>
          <w:rFonts w:ascii="Calibri" w:eastAsia="Calibri" w:hAnsi="Calibri" w:cs="Calibri"/>
        </w:rPr>
        <w:t>;</w:t>
      </w:r>
      <w:r w:rsidR="00EF2544" w:rsidRPr="00D03465">
        <w:rPr>
          <w:rFonts w:ascii="Calibri" w:eastAsia="Calibri" w:hAnsi="Calibri" w:cs="Calibri"/>
        </w:rPr>
        <w:t xml:space="preserve"> </w:t>
      </w:r>
    </w:p>
    <w:p w14:paraId="77B780B1" w14:textId="4EFD9F79" w:rsidR="00E2305C" w:rsidRPr="00D03465" w:rsidRDefault="00EF2544" w:rsidP="00221F81">
      <w:pPr>
        <w:pStyle w:val="ListParagraph"/>
        <w:numPr>
          <w:ilvl w:val="0"/>
          <w:numId w:val="2"/>
        </w:numPr>
        <w:spacing w:after="160" w:line="259" w:lineRule="auto"/>
        <w:ind w:left="720" w:right="-18"/>
        <w:jc w:val="both"/>
        <w:rPr>
          <w:rFonts w:ascii="Calibri" w:eastAsia="Calibri" w:hAnsi="Calibri" w:cs="Calibri"/>
        </w:rPr>
      </w:pPr>
      <w:r w:rsidRPr="00D03465">
        <w:rPr>
          <w:rFonts w:ascii="Calibri" w:eastAsia="Calibri" w:hAnsi="Calibri" w:cs="Calibri"/>
        </w:rPr>
        <w:t xml:space="preserve">Promote physical and psychological well-being </w:t>
      </w:r>
      <w:r w:rsidR="00AD4EF2" w:rsidRPr="00D03465">
        <w:rPr>
          <w:rFonts w:ascii="Calibri" w:eastAsia="Calibri" w:hAnsi="Calibri" w:cs="Calibri"/>
        </w:rPr>
        <w:t>by fostering</w:t>
      </w:r>
      <w:r w:rsidRPr="00D03465">
        <w:rPr>
          <w:rFonts w:ascii="Calibri" w:eastAsia="Calibri" w:hAnsi="Calibri" w:cs="Calibri"/>
        </w:rPr>
        <w:t xml:space="preserve"> positive </w:t>
      </w:r>
      <w:r w:rsidR="00AD4EF2" w:rsidRPr="00D03465">
        <w:rPr>
          <w:rFonts w:ascii="Calibri" w:eastAsia="Calibri" w:hAnsi="Calibri" w:cs="Calibri"/>
        </w:rPr>
        <w:t xml:space="preserve">school and </w:t>
      </w:r>
      <w:r w:rsidRPr="00D03465">
        <w:rPr>
          <w:rFonts w:ascii="Calibri" w:eastAsia="Calibri" w:hAnsi="Calibri" w:cs="Calibri"/>
        </w:rPr>
        <w:t>social climates</w:t>
      </w:r>
      <w:r w:rsidR="00AC6D88">
        <w:rPr>
          <w:rFonts w:ascii="Calibri" w:eastAsia="Calibri" w:hAnsi="Calibri" w:cs="Calibri"/>
        </w:rPr>
        <w:t>;</w:t>
      </w:r>
    </w:p>
    <w:p w14:paraId="55D1065A" w14:textId="0F52A453" w:rsidR="00E2305C" w:rsidRPr="00D03465" w:rsidRDefault="00AD4EF2" w:rsidP="00221F81">
      <w:pPr>
        <w:pStyle w:val="ListParagraph"/>
        <w:numPr>
          <w:ilvl w:val="0"/>
          <w:numId w:val="2"/>
        </w:numPr>
        <w:spacing w:after="160" w:line="259" w:lineRule="auto"/>
        <w:ind w:left="720" w:right="-18"/>
        <w:jc w:val="both"/>
        <w:rPr>
          <w:rFonts w:ascii="Calibri" w:eastAsia="Calibri" w:hAnsi="Calibri" w:cs="Calibri"/>
        </w:rPr>
      </w:pPr>
      <w:r w:rsidRPr="00D03465">
        <w:rPr>
          <w:rFonts w:ascii="Calibri" w:eastAsia="Calibri" w:hAnsi="Calibri" w:cs="Calibri"/>
        </w:rPr>
        <w:t>Assi</w:t>
      </w:r>
      <w:r w:rsidR="00B56C98">
        <w:rPr>
          <w:rFonts w:ascii="Calibri" w:eastAsia="Calibri" w:hAnsi="Calibri" w:cs="Calibri"/>
        </w:rPr>
        <w:t>s</w:t>
      </w:r>
      <w:r w:rsidRPr="00D03465">
        <w:rPr>
          <w:rFonts w:ascii="Calibri" w:eastAsia="Calibri" w:hAnsi="Calibri" w:cs="Calibri"/>
        </w:rPr>
        <w:t xml:space="preserve">t </w:t>
      </w:r>
      <w:r w:rsidR="00B56C98" w:rsidRPr="00D03465">
        <w:rPr>
          <w:rFonts w:ascii="Calibri" w:eastAsia="Calibri" w:hAnsi="Calibri" w:cs="Calibri"/>
        </w:rPr>
        <w:t>administrators</w:t>
      </w:r>
      <w:r w:rsidRPr="00D03465">
        <w:rPr>
          <w:rFonts w:ascii="Calibri" w:eastAsia="Calibri" w:hAnsi="Calibri" w:cs="Calibri"/>
        </w:rPr>
        <w:t xml:space="preserve"> and school resource officers during risk </w:t>
      </w:r>
      <w:r w:rsidR="00B7736E">
        <w:rPr>
          <w:rFonts w:ascii="Calibri" w:eastAsia="Calibri" w:hAnsi="Calibri" w:cs="Calibri"/>
        </w:rPr>
        <w:t>and/or threat scenarios</w:t>
      </w:r>
      <w:r w:rsidR="00AC6D88">
        <w:rPr>
          <w:rFonts w:ascii="Calibri" w:eastAsia="Calibri" w:hAnsi="Calibri" w:cs="Calibri"/>
        </w:rPr>
        <w:t>; and</w:t>
      </w:r>
    </w:p>
    <w:p w14:paraId="7BB0D6C1" w14:textId="6DA1B161" w:rsidR="00EC1186" w:rsidRPr="00D03465" w:rsidRDefault="00AD4EF2" w:rsidP="00221F81">
      <w:pPr>
        <w:pStyle w:val="ListParagraph"/>
        <w:numPr>
          <w:ilvl w:val="0"/>
          <w:numId w:val="2"/>
        </w:numPr>
        <w:spacing w:after="160" w:line="259" w:lineRule="auto"/>
        <w:ind w:left="720" w:right="-18"/>
        <w:jc w:val="both"/>
        <w:rPr>
          <w:rFonts w:ascii="Calibri" w:eastAsia="Calibri" w:hAnsi="Calibri" w:cs="Calibri"/>
        </w:rPr>
      </w:pPr>
      <w:r w:rsidRPr="00D03465">
        <w:rPr>
          <w:rFonts w:ascii="Calibri" w:eastAsia="Calibri" w:hAnsi="Calibri" w:cs="Calibri"/>
        </w:rPr>
        <w:t>Facilitate</w:t>
      </w:r>
      <w:r w:rsidR="00E2305C" w:rsidRPr="00D03465">
        <w:rPr>
          <w:rFonts w:ascii="Calibri" w:eastAsia="Calibri" w:hAnsi="Calibri" w:cs="Calibri"/>
          <w:b/>
        </w:rPr>
        <w:t xml:space="preserve"> </w:t>
      </w:r>
      <w:r w:rsidR="00B7736E">
        <w:rPr>
          <w:rFonts w:ascii="Calibri" w:eastAsia="Calibri" w:hAnsi="Calibri" w:cs="Calibri"/>
        </w:rPr>
        <w:t>“next steps”</w:t>
      </w:r>
      <w:r w:rsidR="00221F81">
        <w:rPr>
          <w:rFonts w:ascii="Calibri" w:eastAsia="Calibri" w:hAnsi="Calibri" w:cs="Calibri"/>
        </w:rPr>
        <w:t xml:space="preserve"> in crisis situations, </w:t>
      </w:r>
      <w:r w:rsidR="00E2305C" w:rsidRPr="00D03465">
        <w:rPr>
          <w:rFonts w:ascii="Calibri" w:eastAsia="Calibri" w:hAnsi="Calibri" w:cs="Calibri"/>
        </w:rPr>
        <w:t>restore a sense of norm</w:t>
      </w:r>
      <w:r w:rsidRPr="00D03465">
        <w:rPr>
          <w:rFonts w:ascii="Calibri" w:eastAsia="Calibri" w:hAnsi="Calibri" w:cs="Calibri"/>
        </w:rPr>
        <w:t>alcy</w:t>
      </w:r>
      <w:r w:rsidR="00221F81">
        <w:rPr>
          <w:rFonts w:ascii="Calibri" w:eastAsia="Calibri" w:hAnsi="Calibri" w:cs="Calibri"/>
        </w:rPr>
        <w:t>, and foster posttraumatic growth</w:t>
      </w:r>
      <w:r w:rsidRPr="00D03465">
        <w:rPr>
          <w:rFonts w:ascii="Calibri" w:eastAsia="Calibri" w:hAnsi="Calibri" w:cs="Calibri"/>
        </w:rPr>
        <w:t xml:space="preserve"> after </w:t>
      </w:r>
      <w:r w:rsidR="00B7736E">
        <w:rPr>
          <w:rFonts w:ascii="Calibri" w:eastAsia="Calibri" w:hAnsi="Calibri" w:cs="Calibri"/>
        </w:rPr>
        <w:t>emergencies occur</w:t>
      </w:r>
      <w:r w:rsidR="00AC6D88">
        <w:rPr>
          <w:rFonts w:ascii="Calibri" w:eastAsia="Calibri" w:hAnsi="Calibri" w:cs="Calibri"/>
        </w:rPr>
        <w:t>.</w:t>
      </w:r>
    </w:p>
    <w:p w14:paraId="2BA90471" w14:textId="67AD91B4" w:rsidR="00712101" w:rsidRPr="00AC6D88" w:rsidRDefault="00EC1186" w:rsidP="00AC6D88">
      <w:pPr>
        <w:spacing w:after="160" w:line="259" w:lineRule="auto"/>
        <w:ind w:right="-18"/>
        <w:jc w:val="both"/>
        <w:rPr>
          <w:rFonts w:ascii="Calibri" w:hAnsi="Calibri" w:cs="Calibri"/>
          <w:color w:val="000000" w:themeColor="text1"/>
        </w:rPr>
      </w:pPr>
      <w:r w:rsidRPr="00AC6D88">
        <w:rPr>
          <w:rFonts w:ascii="Calibri" w:hAnsi="Calibri" w:cs="Calibri"/>
          <w:color w:val="000000" w:themeColor="text1"/>
        </w:rPr>
        <w:t xml:space="preserve">Lowering the professional to student ratio, hiring more </w:t>
      </w:r>
      <w:r w:rsidR="004B3D3A">
        <w:rPr>
          <w:rFonts w:ascii="Calibri" w:hAnsi="Calibri" w:cs="Calibri"/>
          <w:color w:val="000000" w:themeColor="text1"/>
        </w:rPr>
        <w:t>S</w:t>
      </w:r>
      <w:r w:rsidRPr="00AC6D88">
        <w:rPr>
          <w:rFonts w:ascii="Calibri" w:hAnsi="Calibri" w:cs="Calibri"/>
          <w:color w:val="000000" w:themeColor="text1"/>
        </w:rPr>
        <w:t xml:space="preserve">chool </w:t>
      </w:r>
      <w:r w:rsidR="004B3D3A">
        <w:rPr>
          <w:rFonts w:ascii="Calibri" w:hAnsi="Calibri" w:cs="Calibri"/>
          <w:color w:val="000000" w:themeColor="text1"/>
        </w:rPr>
        <w:t>C</w:t>
      </w:r>
      <w:r w:rsidRPr="00AC6D88">
        <w:rPr>
          <w:rFonts w:ascii="Calibri" w:hAnsi="Calibri" w:cs="Calibri"/>
          <w:color w:val="000000" w:themeColor="text1"/>
        </w:rPr>
        <w:t xml:space="preserve">ounselors, </w:t>
      </w:r>
      <w:r w:rsidR="004B3D3A">
        <w:rPr>
          <w:rFonts w:ascii="Calibri" w:hAnsi="Calibri" w:cs="Calibri"/>
          <w:color w:val="000000" w:themeColor="text1"/>
        </w:rPr>
        <w:t>S</w:t>
      </w:r>
      <w:r w:rsidRPr="00AC6D88">
        <w:rPr>
          <w:rFonts w:ascii="Calibri" w:hAnsi="Calibri" w:cs="Calibri"/>
          <w:color w:val="000000" w:themeColor="text1"/>
        </w:rPr>
        <w:t xml:space="preserve">chool </w:t>
      </w:r>
      <w:r w:rsidR="004B3D3A">
        <w:rPr>
          <w:rFonts w:ascii="Calibri" w:hAnsi="Calibri" w:cs="Calibri"/>
          <w:color w:val="000000" w:themeColor="text1"/>
        </w:rPr>
        <w:t>P</w:t>
      </w:r>
      <w:r w:rsidRPr="00AC6D88">
        <w:rPr>
          <w:rFonts w:ascii="Calibri" w:hAnsi="Calibri" w:cs="Calibri"/>
          <w:color w:val="000000" w:themeColor="text1"/>
        </w:rPr>
        <w:t xml:space="preserve">sychologists, and </w:t>
      </w:r>
      <w:r w:rsidR="004B3D3A">
        <w:rPr>
          <w:rFonts w:ascii="Calibri" w:hAnsi="Calibri" w:cs="Calibri"/>
          <w:color w:val="000000" w:themeColor="text1"/>
        </w:rPr>
        <w:t>S</w:t>
      </w:r>
      <w:r w:rsidRPr="00AC6D88">
        <w:rPr>
          <w:rFonts w:ascii="Calibri" w:hAnsi="Calibri" w:cs="Calibri"/>
          <w:color w:val="000000" w:themeColor="text1"/>
        </w:rPr>
        <w:t xml:space="preserve">chool </w:t>
      </w:r>
      <w:r w:rsidR="004B3D3A">
        <w:rPr>
          <w:rFonts w:ascii="Calibri" w:hAnsi="Calibri" w:cs="Calibri"/>
          <w:color w:val="000000" w:themeColor="text1"/>
        </w:rPr>
        <w:t>S</w:t>
      </w:r>
      <w:r w:rsidRPr="00AC6D88">
        <w:rPr>
          <w:rFonts w:ascii="Calibri" w:hAnsi="Calibri" w:cs="Calibri"/>
          <w:color w:val="000000" w:themeColor="text1"/>
        </w:rPr>
        <w:t xml:space="preserve">ocial </w:t>
      </w:r>
      <w:r w:rsidR="004B3D3A">
        <w:rPr>
          <w:rFonts w:ascii="Calibri" w:hAnsi="Calibri" w:cs="Calibri"/>
          <w:color w:val="000000" w:themeColor="text1"/>
        </w:rPr>
        <w:t>W</w:t>
      </w:r>
      <w:r w:rsidRPr="00AC6D88">
        <w:rPr>
          <w:rFonts w:ascii="Calibri" w:hAnsi="Calibri" w:cs="Calibri"/>
          <w:color w:val="000000" w:themeColor="text1"/>
        </w:rPr>
        <w:t xml:space="preserve">orkers, and empowering these professionals to use their specialized training and skills to carry out their roles and functions within the schools can vastly improve the delivery of mental services in schools.  </w:t>
      </w:r>
    </w:p>
    <w:p w14:paraId="117DB3B0" w14:textId="738501E2" w:rsidR="00712101" w:rsidRDefault="00712101" w:rsidP="00AC6D88">
      <w:pPr>
        <w:pStyle w:val="ListParagraph"/>
        <w:numPr>
          <w:ilvl w:val="0"/>
          <w:numId w:val="14"/>
        </w:numPr>
        <w:spacing w:after="160" w:line="259" w:lineRule="auto"/>
        <w:ind w:left="360" w:right="-18"/>
        <w:jc w:val="both"/>
        <w:rPr>
          <w:rFonts w:ascii="Calibri" w:hAnsi="Calibri" w:cs="Calibri"/>
        </w:rPr>
      </w:pPr>
      <w:r w:rsidRPr="00DF018B">
        <w:rPr>
          <w:rFonts w:ascii="Calibri" w:hAnsi="Calibri" w:cs="Calibri"/>
        </w:rPr>
        <w:t>High ratios of students to support staff undermine and hinder each professional’s ability to meet the existing and growing needs of students, families, and schools. One-out-of-five students will experience a behavioral or mental health concern warranting intervention</w:t>
      </w:r>
      <w:r w:rsidR="00F740CA">
        <w:rPr>
          <w:rStyle w:val="EndnoteReference"/>
          <w:rFonts w:ascii="Calibri" w:hAnsi="Calibri" w:cs="Calibri"/>
        </w:rPr>
        <w:endnoteReference w:id="1"/>
      </w:r>
      <w:r w:rsidRPr="00DF018B">
        <w:rPr>
          <w:rFonts w:ascii="Calibri" w:hAnsi="Calibri" w:cs="Calibri"/>
        </w:rPr>
        <w:t xml:space="preserve">. However, without access to counseling services within the school many students will go without treatment.  </w:t>
      </w:r>
    </w:p>
    <w:tbl>
      <w:tblPr>
        <w:tblStyle w:val="a"/>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25"/>
        <w:gridCol w:w="1309"/>
        <w:gridCol w:w="1398"/>
        <w:gridCol w:w="1360"/>
      </w:tblGrid>
      <w:tr w:rsidR="00712101" w:rsidRPr="00DC0CE5" w14:paraId="6E733C11" w14:textId="77777777" w:rsidTr="00AC6D88">
        <w:trPr>
          <w:jc w:val="center"/>
        </w:trPr>
        <w:tc>
          <w:tcPr>
            <w:tcW w:w="3062" w:type="pct"/>
            <w:shd w:val="clear" w:color="auto" w:fill="DAEEF3" w:themeFill="accent5" w:themeFillTint="33"/>
            <w:tcMar>
              <w:top w:w="100" w:type="dxa"/>
              <w:left w:w="100" w:type="dxa"/>
              <w:bottom w:w="100" w:type="dxa"/>
              <w:right w:w="100" w:type="dxa"/>
            </w:tcMar>
            <w:vAlign w:val="center"/>
          </w:tcPr>
          <w:p w14:paraId="1CD091CC" w14:textId="77777777" w:rsidR="00712101" w:rsidRPr="000A016D" w:rsidRDefault="00712101" w:rsidP="00AC6D88">
            <w:pPr>
              <w:widowControl w:val="0"/>
              <w:pBdr>
                <w:top w:val="nil"/>
                <w:left w:val="nil"/>
                <w:bottom w:val="nil"/>
                <w:right w:val="nil"/>
                <w:between w:val="nil"/>
              </w:pBdr>
              <w:spacing w:line="240" w:lineRule="auto"/>
              <w:ind w:right="-18"/>
              <w:rPr>
                <w:rFonts w:asciiTheme="majorHAnsi" w:hAnsiTheme="majorHAnsi" w:cstheme="majorHAnsi"/>
                <w:b/>
              </w:rPr>
            </w:pPr>
            <w:r>
              <w:rPr>
                <w:rFonts w:asciiTheme="majorHAnsi" w:hAnsiTheme="majorHAnsi" w:cstheme="majorHAnsi"/>
                <w:b/>
              </w:rPr>
              <w:t>Sufficient numbers of appropriately trained professionals are necessary to meet the mental health needs of school communities.</w:t>
            </w:r>
          </w:p>
        </w:tc>
        <w:tc>
          <w:tcPr>
            <w:tcW w:w="624" w:type="pct"/>
            <w:shd w:val="clear" w:color="auto" w:fill="DAEEF3" w:themeFill="accent5" w:themeFillTint="33"/>
            <w:tcMar>
              <w:top w:w="100" w:type="dxa"/>
              <w:left w:w="100" w:type="dxa"/>
              <w:bottom w:w="100" w:type="dxa"/>
              <w:right w:w="100" w:type="dxa"/>
            </w:tcMar>
          </w:tcPr>
          <w:p w14:paraId="08761176"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b/>
              </w:rPr>
            </w:pPr>
            <w:r w:rsidRPr="00DC0CE5">
              <w:rPr>
                <w:rFonts w:asciiTheme="majorHAnsi" w:hAnsiTheme="majorHAnsi" w:cstheme="majorHAnsi"/>
                <w:b/>
              </w:rPr>
              <w:t>School Counselor</w:t>
            </w:r>
          </w:p>
        </w:tc>
        <w:tc>
          <w:tcPr>
            <w:tcW w:w="666" w:type="pct"/>
            <w:shd w:val="clear" w:color="auto" w:fill="DAEEF3" w:themeFill="accent5" w:themeFillTint="33"/>
            <w:tcMar>
              <w:top w:w="100" w:type="dxa"/>
              <w:left w:w="100" w:type="dxa"/>
              <w:bottom w:w="100" w:type="dxa"/>
              <w:right w:w="100" w:type="dxa"/>
            </w:tcMar>
          </w:tcPr>
          <w:p w14:paraId="348880E2"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b/>
              </w:rPr>
            </w:pPr>
            <w:r w:rsidRPr="00DC0CE5">
              <w:rPr>
                <w:rFonts w:asciiTheme="majorHAnsi" w:hAnsiTheme="majorHAnsi" w:cstheme="majorHAnsi"/>
                <w:b/>
              </w:rPr>
              <w:t>School Psychologist</w:t>
            </w:r>
          </w:p>
        </w:tc>
        <w:tc>
          <w:tcPr>
            <w:tcW w:w="648" w:type="pct"/>
            <w:shd w:val="clear" w:color="auto" w:fill="DAEEF3" w:themeFill="accent5" w:themeFillTint="33"/>
            <w:tcMar>
              <w:top w:w="100" w:type="dxa"/>
              <w:left w:w="100" w:type="dxa"/>
              <w:bottom w:w="100" w:type="dxa"/>
              <w:right w:w="100" w:type="dxa"/>
            </w:tcMar>
          </w:tcPr>
          <w:p w14:paraId="73C52D99"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b/>
              </w:rPr>
            </w:pPr>
            <w:r w:rsidRPr="00DC0CE5">
              <w:rPr>
                <w:rFonts w:asciiTheme="majorHAnsi" w:hAnsiTheme="majorHAnsi" w:cstheme="majorHAnsi"/>
                <w:b/>
              </w:rPr>
              <w:t>School Social Worker</w:t>
            </w:r>
          </w:p>
        </w:tc>
      </w:tr>
      <w:tr w:rsidR="00712101" w:rsidRPr="00DC0CE5" w14:paraId="7DDB09BD" w14:textId="77777777" w:rsidTr="00AC6D88">
        <w:trPr>
          <w:trHeight w:val="843"/>
          <w:jc w:val="center"/>
        </w:trPr>
        <w:tc>
          <w:tcPr>
            <w:tcW w:w="3062" w:type="pct"/>
            <w:shd w:val="clear" w:color="auto" w:fill="auto"/>
            <w:tcMar>
              <w:top w:w="100" w:type="dxa"/>
              <w:left w:w="100" w:type="dxa"/>
              <w:bottom w:w="100" w:type="dxa"/>
              <w:right w:w="100" w:type="dxa"/>
            </w:tcMar>
          </w:tcPr>
          <w:p w14:paraId="55D4512F" w14:textId="04AA614C" w:rsidR="00712101" w:rsidRPr="00DF018B" w:rsidRDefault="00AC6D88" w:rsidP="00AC6D88">
            <w:pPr>
              <w:pStyle w:val="ListParagraph"/>
              <w:widowControl w:val="0"/>
              <w:numPr>
                <w:ilvl w:val="0"/>
                <w:numId w:val="21"/>
              </w:numPr>
              <w:pBdr>
                <w:top w:val="nil"/>
                <w:left w:val="nil"/>
                <w:bottom w:val="nil"/>
                <w:right w:val="nil"/>
                <w:between w:val="nil"/>
              </w:pBdr>
              <w:spacing w:line="240" w:lineRule="auto"/>
              <w:ind w:left="604" w:right="-18"/>
              <w:rPr>
                <w:rFonts w:asciiTheme="majorHAnsi" w:hAnsiTheme="majorHAnsi" w:cstheme="majorHAnsi"/>
              </w:rPr>
            </w:pPr>
            <w:r>
              <w:rPr>
                <w:rFonts w:asciiTheme="majorHAnsi" w:hAnsiTheme="majorHAnsi" w:cstheme="majorHAnsi"/>
              </w:rPr>
              <w:t>Earned a</w:t>
            </w:r>
            <w:r w:rsidR="00712101" w:rsidRPr="00DF018B">
              <w:rPr>
                <w:rFonts w:asciiTheme="majorHAnsi" w:hAnsiTheme="majorHAnsi" w:cstheme="majorHAnsi"/>
              </w:rPr>
              <w:t>t least a master’s degree with specialized training in organization/ operation of schools, child development, counseling and mental health assessment</w:t>
            </w:r>
            <w:r w:rsidR="00221F81">
              <w:rPr>
                <w:rFonts w:asciiTheme="majorHAnsi" w:hAnsiTheme="majorHAnsi" w:cstheme="majorHAnsi"/>
              </w:rPr>
              <w:t>/intervention.</w:t>
            </w:r>
          </w:p>
        </w:tc>
        <w:tc>
          <w:tcPr>
            <w:tcW w:w="624" w:type="pct"/>
            <w:shd w:val="clear" w:color="auto" w:fill="auto"/>
            <w:tcMar>
              <w:top w:w="100" w:type="dxa"/>
              <w:left w:w="100" w:type="dxa"/>
              <w:bottom w:w="100" w:type="dxa"/>
              <w:right w:w="100" w:type="dxa"/>
            </w:tcMar>
            <w:vAlign w:val="center"/>
          </w:tcPr>
          <w:p w14:paraId="4D3B5F66" w14:textId="77777777" w:rsidR="00712101" w:rsidRPr="00DC0CE5" w:rsidRDefault="00712101" w:rsidP="009448B8">
            <w:pPr>
              <w:pStyle w:val="ListParagraph"/>
              <w:widowControl w:val="0"/>
              <w:numPr>
                <w:ilvl w:val="0"/>
                <w:numId w:val="5"/>
              </w:numPr>
              <w:pBdr>
                <w:top w:val="nil"/>
                <w:left w:val="nil"/>
                <w:bottom w:val="nil"/>
                <w:right w:val="nil"/>
                <w:between w:val="nil"/>
              </w:pBdr>
              <w:spacing w:line="240" w:lineRule="auto"/>
              <w:ind w:left="339" w:right="-18" w:hanging="233"/>
              <w:jc w:val="center"/>
              <w:rPr>
                <w:rFonts w:asciiTheme="majorHAnsi" w:hAnsiTheme="majorHAnsi" w:cstheme="majorHAnsi"/>
              </w:rPr>
            </w:pPr>
          </w:p>
        </w:tc>
        <w:tc>
          <w:tcPr>
            <w:tcW w:w="666" w:type="pct"/>
            <w:shd w:val="clear" w:color="auto" w:fill="auto"/>
            <w:tcMar>
              <w:top w:w="100" w:type="dxa"/>
              <w:left w:w="100" w:type="dxa"/>
              <w:bottom w:w="100" w:type="dxa"/>
              <w:right w:w="100" w:type="dxa"/>
            </w:tcMar>
            <w:vAlign w:val="center"/>
          </w:tcPr>
          <w:p w14:paraId="79C7B866" w14:textId="77777777" w:rsidR="00712101" w:rsidRPr="00DC0CE5" w:rsidRDefault="00712101" w:rsidP="009448B8">
            <w:pPr>
              <w:pStyle w:val="ListParagraph"/>
              <w:widowControl w:val="0"/>
              <w:numPr>
                <w:ilvl w:val="0"/>
                <w:numId w:val="5"/>
              </w:numPr>
              <w:pBdr>
                <w:top w:val="nil"/>
                <w:left w:val="nil"/>
                <w:bottom w:val="nil"/>
                <w:right w:val="nil"/>
                <w:between w:val="nil"/>
              </w:pBdr>
              <w:spacing w:line="240" w:lineRule="auto"/>
              <w:ind w:left="339" w:right="-18" w:hanging="233"/>
              <w:jc w:val="center"/>
              <w:rPr>
                <w:rFonts w:asciiTheme="majorHAnsi" w:hAnsiTheme="majorHAnsi" w:cstheme="majorHAnsi"/>
              </w:rPr>
            </w:pPr>
          </w:p>
        </w:tc>
        <w:tc>
          <w:tcPr>
            <w:tcW w:w="648" w:type="pct"/>
            <w:shd w:val="clear" w:color="auto" w:fill="auto"/>
            <w:tcMar>
              <w:top w:w="100" w:type="dxa"/>
              <w:left w:w="100" w:type="dxa"/>
              <w:bottom w:w="100" w:type="dxa"/>
              <w:right w:w="100" w:type="dxa"/>
            </w:tcMar>
            <w:vAlign w:val="center"/>
          </w:tcPr>
          <w:p w14:paraId="7DFA13EB" w14:textId="77777777" w:rsidR="00712101" w:rsidRPr="00DC0CE5" w:rsidRDefault="00712101" w:rsidP="009448B8">
            <w:pPr>
              <w:pStyle w:val="ListParagraph"/>
              <w:widowControl w:val="0"/>
              <w:numPr>
                <w:ilvl w:val="0"/>
                <w:numId w:val="5"/>
              </w:numPr>
              <w:pBdr>
                <w:top w:val="nil"/>
                <w:left w:val="nil"/>
                <w:bottom w:val="nil"/>
                <w:right w:val="nil"/>
                <w:between w:val="nil"/>
              </w:pBdr>
              <w:spacing w:line="240" w:lineRule="auto"/>
              <w:ind w:left="339" w:right="-18" w:hanging="233"/>
              <w:jc w:val="center"/>
              <w:rPr>
                <w:rFonts w:asciiTheme="majorHAnsi" w:hAnsiTheme="majorHAnsi" w:cstheme="majorHAnsi"/>
              </w:rPr>
            </w:pPr>
          </w:p>
        </w:tc>
      </w:tr>
      <w:tr w:rsidR="00712101" w:rsidRPr="00DC0CE5" w14:paraId="5175B6C0" w14:textId="77777777" w:rsidTr="00AC6D88">
        <w:trPr>
          <w:jc w:val="center"/>
        </w:trPr>
        <w:tc>
          <w:tcPr>
            <w:tcW w:w="3062" w:type="pct"/>
            <w:shd w:val="clear" w:color="auto" w:fill="auto"/>
            <w:tcMar>
              <w:top w:w="100" w:type="dxa"/>
              <w:left w:w="100" w:type="dxa"/>
              <w:bottom w:w="100" w:type="dxa"/>
              <w:right w:w="100" w:type="dxa"/>
            </w:tcMar>
          </w:tcPr>
          <w:p w14:paraId="5711A31A" w14:textId="2CDD49D5" w:rsidR="00712101" w:rsidRPr="00DF018B" w:rsidRDefault="00221F81" w:rsidP="00AC6D88">
            <w:pPr>
              <w:pStyle w:val="ListParagraph"/>
              <w:widowControl w:val="0"/>
              <w:numPr>
                <w:ilvl w:val="0"/>
                <w:numId w:val="21"/>
              </w:numPr>
              <w:spacing w:line="240" w:lineRule="auto"/>
              <w:ind w:left="604" w:right="-18"/>
              <w:rPr>
                <w:rFonts w:asciiTheme="majorHAnsi" w:hAnsiTheme="majorHAnsi" w:cstheme="majorHAnsi"/>
              </w:rPr>
            </w:pPr>
            <w:r>
              <w:rPr>
                <w:rFonts w:asciiTheme="majorHAnsi" w:hAnsiTheme="majorHAnsi" w:cstheme="majorHAnsi"/>
              </w:rPr>
              <w:t>Nationall</w:t>
            </w:r>
            <w:r w:rsidR="00F33FC5">
              <w:rPr>
                <w:rFonts w:asciiTheme="majorHAnsi" w:hAnsiTheme="majorHAnsi" w:cstheme="majorHAnsi"/>
              </w:rPr>
              <w:t>y</w:t>
            </w:r>
            <w:r>
              <w:rPr>
                <w:rFonts w:asciiTheme="majorHAnsi" w:hAnsiTheme="majorHAnsi" w:cstheme="majorHAnsi"/>
              </w:rPr>
              <w:t xml:space="preserve"> r</w:t>
            </w:r>
            <w:r w:rsidR="00712101" w:rsidRPr="00DF018B">
              <w:rPr>
                <w:rFonts w:asciiTheme="majorHAnsi" w:hAnsiTheme="majorHAnsi" w:cstheme="majorHAnsi"/>
              </w:rPr>
              <w:t>ecommended personnel to student ratio</w:t>
            </w:r>
          </w:p>
        </w:tc>
        <w:tc>
          <w:tcPr>
            <w:tcW w:w="624" w:type="pct"/>
            <w:shd w:val="clear" w:color="auto" w:fill="auto"/>
            <w:tcMar>
              <w:top w:w="100" w:type="dxa"/>
              <w:left w:w="100" w:type="dxa"/>
              <w:bottom w:w="100" w:type="dxa"/>
              <w:right w:w="100" w:type="dxa"/>
            </w:tcMar>
            <w:vAlign w:val="center"/>
          </w:tcPr>
          <w:p w14:paraId="5AAAF7A2"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rPr>
            </w:pPr>
            <w:r w:rsidRPr="00DC0CE5">
              <w:rPr>
                <w:rFonts w:asciiTheme="majorHAnsi" w:hAnsiTheme="majorHAnsi" w:cstheme="majorHAnsi"/>
              </w:rPr>
              <w:t>1:250</w:t>
            </w:r>
          </w:p>
        </w:tc>
        <w:tc>
          <w:tcPr>
            <w:tcW w:w="666" w:type="pct"/>
            <w:shd w:val="clear" w:color="auto" w:fill="auto"/>
            <w:tcMar>
              <w:top w:w="100" w:type="dxa"/>
              <w:left w:w="100" w:type="dxa"/>
              <w:bottom w:w="100" w:type="dxa"/>
              <w:right w:w="100" w:type="dxa"/>
            </w:tcMar>
            <w:vAlign w:val="center"/>
          </w:tcPr>
          <w:p w14:paraId="6BEADDDC"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rPr>
            </w:pPr>
            <w:r w:rsidRPr="00DC0CE5">
              <w:rPr>
                <w:rFonts w:asciiTheme="majorHAnsi" w:hAnsiTheme="majorHAnsi" w:cstheme="majorHAnsi"/>
              </w:rPr>
              <w:t>1:500-700</w:t>
            </w:r>
          </w:p>
        </w:tc>
        <w:tc>
          <w:tcPr>
            <w:tcW w:w="648" w:type="pct"/>
            <w:shd w:val="clear" w:color="auto" w:fill="auto"/>
            <w:tcMar>
              <w:top w:w="100" w:type="dxa"/>
              <w:left w:w="100" w:type="dxa"/>
              <w:bottom w:w="100" w:type="dxa"/>
              <w:right w:w="100" w:type="dxa"/>
            </w:tcMar>
            <w:vAlign w:val="center"/>
          </w:tcPr>
          <w:p w14:paraId="2C4E4339"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highlight w:val="yellow"/>
              </w:rPr>
            </w:pPr>
            <w:r w:rsidRPr="00DD6BE3">
              <w:rPr>
                <w:rFonts w:asciiTheme="majorHAnsi" w:hAnsiTheme="majorHAnsi" w:cstheme="majorHAnsi"/>
              </w:rPr>
              <w:t>1:250</w:t>
            </w:r>
          </w:p>
        </w:tc>
      </w:tr>
      <w:tr w:rsidR="00712101" w:rsidRPr="00DC0CE5" w14:paraId="28ACAB9B" w14:textId="77777777" w:rsidTr="00AC6D88">
        <w:trPr>
          <w:jc w:val="center"/>
        </w:trPr>
        <w:tc>
          <w:tcPr>
            <w:tcW w:w="3062" w:type="pct"/>
            <w:shd w:val="clear" w:color="auto" w:fill="auto"/>
            <w:tcMar>
              <w:top w:w="100" w:type="dxa"/>
              <w:left w:w="100" w:type="dxa"/>
              <w:bottom w:w="100" w:type="dxa"/>
              <w:right w:w="100" w:type="dxa"/>
            </w:tcMar>
          </w:tcPr>
          <w:p w14:paraId="2BF0C3CF" w14:textId="77777777" w:rsidR="00712101" w:rsidRPr="00DF018B" w:rsidRDefault="00712101" w:rsidP="00AC6D88">
            <w:pPr>
              <w:pStyle w:val="ListParagraph"/>
              <w:widowControl w:val="0"/>
              <w:numPr>
                <w:ilvl w:val="0"/>
                <w:numId w:val="21"/>
              </w:numPr>
              <w:spacing w:line="240" w:lineRule="auto"/>
              <w:ind w:left="604" w:right="-18"/>
              <w:rPr>
                <w:rFonts w:asciiTheme="majorHAnsi" w:hAnsiTheme="majorHAnsi" w:cstheme="majorHAnsi"/>
              </w:rPr>
            </w:pPr>
            <w:r w:rsidRPr="00DF018B">
              <w:rPr>
                <w:rFonts w:asciiTheme="majorHAnsi" w:hAnsiTheme="majorHAnsi" w:cstheme="majorHAnsi"/>
              </w:rPr>
              <w:t>Current ratios in Florida as of 2016 (FLDOE)</w:t>
            </w:r>
          </w:p>
        </w:tc>
        <w:tc>
          <w:tcPr>
            <w:tcW w:w="624" w:type="pct"/>
            <w:shd w:val="clear" w:color="auto" w:fill="auto"/>
            <w:tcMar>
              <w:top w:w="100" w:type="dxa"/>
              <w:left w:w="100" w:type="dxa"/>
              <w:bottom w:w="100" w:type="dxa"/>
              <w:right w:w="100" w:type="dxa"/>
            </w:tcMar>
            <w:vAlign w:val="center"/>
          </w:tcPr>
          <w:p w14:paraId="4E94B0CB"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rPr>
            </w:pPr>
            <w:r w:rsidRPr="00DC0CE5">
              <w:rPr>
                <w:rFonts w:asciiTheme="majorHAnsi" w:hAnsiTheme="majorHAnsi" w:cstheme="majorHAnsi"/>
              </w:rPr>
              <w:t>1:485</w:t>
            </w:r>
          </w:p>
        </w:tc>
        <w:tc>
          <w:tcPr>
            <w:tcW w:w="666" w:type="pct"/>
            <w:shd w:val="clear" w:color="auto" w:fill="auto"/>
            <w:tcMar>
              <w:top w:w="100" w:type="dxa"/>
              <w:left w:w="100" w:type="dxa"/>
              <w:bottom w:w="100" w:type="dxa"/>
              <w:right w:w="100" w:type="dxa"/>
            </w:tcMar>
            <w:vAlign w:val="center"/>
          </w:tcPr>
          <w:p w14:paraId="394F385C" w14:textId="7F5EEFDB" w:rsidR="00712101" w:rsidRPr="00DC0CE5" w:rsidRDefault="009B3C61" w:rsidP="00AC6D88">
            <w:pPr>
              <w:widowControl w:val="0"/>
              <w:pBdr>
                <w:top w:val="nil"/>
                <w:left w:val="nil"/>
                <w:bottom w:val="nil"/>
                <w:right w:val="nil"/>
                <w:between w:val="nil"/>
              </w:pBdr>
              <w:spacing w:line="240" w:lineRule="auto"/>
              <w:ind w:right="-18"/>
              <w:jc w:val="center"/>
              <w:rPr>
                <w:rFonts w:asciiTheme="majorHAnsi" w:hAnsiTheme="majorHAnsi" w:cstheme="majorHAnsi"/>
              </w:rPr>
            </w:pPr>
            <w:r>
              <w:rPr>
                <w:rFonts w:asciiTheme="majorHAnsi" w:hAnsiTheme="majorHAnsi" w:cstheme="majorHAnsi"/>
              </w:rPr>
              <w:t>1:2,022</w:t>
            </w:r>
          </w:p>
        </w:tc>
        <w:tc>
          <w:tcPr>
            <w:tcW w:w="648" w:type="pct"/>
            <w:shd w:val="clear" w:color="auto" w:fill="auto"/>
            <w:tcMar>
              <w:top w:w="100" w:type="dxa"/>
              <w:left w:w="100" w:type="dxa"/>
              <w:bottom w:w="100" w:type="dxa"/>
              <w:right w:w="100" w:type="dxa"/>
            </w:tcMar>
            <w:vAlign w:val="center"/>
          </w:tcPr>
          <w:p w14:paraId="2F31E861" w14:textId="77777777" w:rsidR="00712101" w:rsidRPr="00DC0CE5" w:rsidRDefault="00712101" w:rsidP="00AC6D88">
            <w:pPr>
              <w:widowControl w:val="0"/>
              <w:pBdr>
                <w:top w:val="nil"/>
                <w:left w:val="nil"/>
                <w:bottom w:val="nil"/>
                <w:right w:val="nil"/>
                <w:between w:val="nil"/>
              </w:pBdr>
              <w:spacing w:line="240" w:lineRule="auto"/>
              <w:ind w:right="-18"/>
              <w:jc w:val="center"/>
              <w:rPr>
                <w:rFonts w:asciiTheme="majorHAnsi" w:hAnsiTheme="majorHAnsi" w:cstheme="majorHAnsi"/>
              </w:rPr>
            </w:pPr>
            <w:r w:rsidRPr="00DC0CE5">
              <w:rPr>
                <w:rFonts w:asciiTheme="majorHAnsi" w:hAnsiTheme="majorHAnsi" w:cstheme="majorHAnsi"/>
              </w:rPr>
              <w:t>1:2,526</w:t>
            </w:r>
          </w:p>
        </w:tc>
      </w:tr>
    </w:tbl>
    <w:p w14:paraId="2365CB08" w14:textId="77777777" w:rsidR="00712101" w:rsidRPr="00DF018B" w:rsidRDefault="00712101" w:rsidP="00AC6D88">
      <w:pPr>
        <w:spacing w:line="240" w:lineRule="auto"/>
        <w:ind w:right="-14"/>
        <w:jc w:val="both"/>
        <w:rPr>
          <w:rFonts w:ascii="Calibri" w:hAnsi="Calibri" w:cs="Calibri"/>
        </w:rPr>
      </w:pPr>
    </w:p>
    <w:p w14:paraId="3717429A" w14:textId="59D79BA8" w:rsidR="00712101" w:rsidRDefault="00712101" w:rsidP="00AC6D88">
      <w:pPr>
        <w:pStyle w:val="ListParagraph"/>
        <w:numPr>
          <w:ilvl w:val="0"/>
          <w:numId w:val="14"/>
        </w:numPr>
        <w:spacing w:line="240" w:lineRule="auto"/>
        <w:ind w:left="360" w:right="-14"/>
        <w:jc w:val="both"/>
        <w:rPr>
          <w:rFonts w:ascii="Calibri" w:hAnsi="Calibri" w:cs="Calibri"/>
        </w:rPr>
      </w:pPr>
      <w:bookmarkStart w:id="0" w:name="_GoBack"/>
      <w:bookmarkEnd w:id="0"/>
      <w:r w:rsidRPr="00DF018B">
        <w:rPr>
          <w:rFonts w:ascii="Calibri" w:hAnsi="Calibri" w:cs="Calibri"/>
        </w:rPr>
        <w:t>Funds from the Marjory Stoneman Douglas High School Public Safety Act (Senate Bill 7026) can be appropriated to hire more certified school counselors, school psychologists, and school social workers to expand the mental h</w:t>
      </w:r>
      <w:r w:rsidRPr="00712101">
        <w:rPr>
          <w:rFonts w:ascii="Calibri" w:hAnsi="Calibri" w:cs="Calibri"/>
        </w:rPr>
        <w:t xml:space="preserve">ealth services in our schools. </w:t>
      </w:r>
      <w:r w:rsidRPr="00DF018B">
        <w:rPr>
          <w:rFonts w:ascii="Calibri" w:hAnsi="Calibri" w:cs="Calibri"/>
        </w:rPr>
        <w:t>Furthermore, hiring more school psychologists and school social workers enables districts to increase Medicaid billing which can help cover the costs of providing mental health services in the schools.</w:t>
      </w:r>
    </w:p>
    <w:p w14:paraId="6EF627D8" w14:textId="77777777" w:rsidR="00712101" w:rsidRDefault="00712101" w:rsidP="00AC6D88">
      <w:pPr>
        <w:pStyle w:val="ListParagraph"/>
        <w:spacing w:line="240" w:lineRule="auto"/>
        <w:ind w:left="0" w:right="-14"/>
        <w:jc w:val="both"/>
        <w:rPr>
          <w:rFonts w:ascii="Calibri" w:hAnsi="Calibri" w:cs="Calibri"/>
        </w:rPr>
      </w:pPr>
    </w:p>
    <w:tbl>
      <w:tblPr>
        <w:tblStyle w:val="a"/>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492"/>
      </w:tblGrid>
      <w:tr w:rsidR="00712101" w:rsidRPr="001C2E36" w14:paraId="6403F4F1" w14:textId="77777777" w:rsidTr="00AC6D88">
        <w:trPr>
          <w:jc w:val="center"/>
        </w:trPr>
        <w:tc>
          <w:tcPr>
            <w:tcW w:w="5000" w:type="pct"/>
            <w:shd w:val="clear" w:color="auto" w:fill="DAEEF3" w:themeFill="accent5" w:themeFillTint="33"/>
            <w:tcMar>
              <w:top w:w="100" w:type="dxa"/>
              <w:left w:w="100" w:type="dxa"/>
              <w:bottom w:w="100" w:type="dxa"/>
              <w:right w:w="100" w:type="dxa"/>
            </w:tcMar>
          </w:tcPr>
          <w:p w14:paraId="5AFAD681" w14:textId="792944FF" w:rsidR="00712101" w:rsidRPr="001C2E36" w:rsidRDefault="00712101" w:rsidP="00AC6D88">
            <w:pPr>
              <w:pStyle w:val="ListParagraph"/>
              <w:widowControl w:val="0"/>
              <w:pBdr>
                <w:top w:val="nil"/>
                <w:left w:val="nil"/>
                <w:bottom w:val="nil"/>
                <w:right w:val="nil"/>
                <w:between w:val="nil"/>
              </w:pBdr>
              <w:spacing w:line="240" w:lineRule="auto"/>
              <w:ind w:left="0" w:right="-18"/>
              <w:rPr>
                <w:rFonts w:asciiTheme="majorHAnsi" w:hAnsiTheme="majorHAnsi" w:cstheme="majorHAnsi"/>
                <w:b/>
              </w:rPr>
            </w:pPr>
            <w:r w:rsidRPr="001C2E36">
              <w:rPr>
                <w:rFonts w:asciiTheme="majorHAnsi" w:eastAsia="Lato" w:hAnsiTheme="majorHAnsi" w:cstheme="majorHAnsi"/>
                <w:b/>
                <w:color w:val="141414"/>
              </w:rPr>
              <w:t>School Counselors, School Psychologist</w:t>
            </w:r>
            <w:r w:rsidR="009B3C61">
              <w:rPr>
                <w:rFonts w:asciiTheme="majorHAnsi" w:eastAsia="Lato" w:hAnsiTheme="majorHAnsi" w:cstheme="majorHAnsi"/>
                <w:b/>
                <w:color w:val="141414"/>
              </w:rPr>
              <w:t>s</w:t>
            </w:r>
            <w:r w:rsidRPr="001C2E36">
              <w:rPr>
                <w:rFonts w:asciiTheme="majorHAnsi" w:eastAsia="Lato" w:hAnsiTheme="majorHAnsi" w:cstheme="majorHAnsi"/>
                <w:b/>
                <w:color w:val="141414"/>
              </w:rPr>
              <w:t xml:space="preserve"> and School Social Workers </w:t>
            </w:r>
            <w:r w:rsidR="00B356DE">
              <w:rPr>
                <w:rFonts w:asciiTheme="majorHAnsi" w:eastAsia="Lato" w:hAnsiTheme="majorHAnsi" w:cstheme="majorHAnsi"/>
                <w:b/>
                <w:color w:val="141414"/>
              </w:rPr>
              <w:t>provide a</w:t>
            </w:r>
            <w:r w:rsidR="00221F81">
              <w:rPr>
                <w:rFonts w:asciiTheme="majorHAnsi" w:eastAsia="Lato" w:hAnsiTheme="majorHAnsi" w:cstheme="majorHAnsi"/>
                <w:b/>
                <w:color w:val="141414"/>
              </w:rPr>
              <w:t xml:space="preserve"> broad</w:t>
            </w:r>
            <w:r w:rsidRPr="001C2E36">
              <w:rPr>
                <w:rFonts w:asciiTheme="majorHAnsi" w:eastAsia="Lato" w:hAnsiTheme="majorHAnsi" w:cstheme="majorHAnsi"/>
                <w:b/>
                <w:color w:val="141414"/>
              </w:rPr>
              <w:t xml:space="preserve"> continuum of mental health services, including prevention and tiered intervention strategies, and collaboration with both school-based and community mental health providers to enhance student success</w:t>
            </w:r>
            <w:r w:rsidR="00221F81">
              <w:rPr>
                <w:rFonts w:asciiTheme="majorHAnsi" w:eastAsia="Lato" w:hAnsiTheme="majorHAnsi" w:cstheme="majorHAnsi"/>
                <w:b/>
                <w:color w:val="141414"/>
              </w:rPr>
              <w:t xml:space="preserve"> and to prevent crises.</w:t>
            </w:r>
          </w:p>
        </w:tc>
      </w:tr>
      <w:tr w:rsidR="00712101" w:rsidRPr="0084745F" w14:paraId="10A73105" w14:textId="77777777" w:rsidTr="00AC6D88">
        <w:trPr>
          <w:jc w:val="center"/>
        </w:trPr>
        <w:tc>
          <w:tcPr>
            <w:tcW w:w="5000" w:type="pct"/>
            <w:shd w:val="clear" w:color="auto" w:fill="auto"/>
            <w:tcMar>
              <w:top w:w="100" w:type="dxa"/>
              <w:left w:w="100" w:type="dxa"/>
              <w:bottom w:w="100" w:type="dxa"/>
              <w:right w:w="100" w:type="dxa"/>
            </w:tcMar>
          </w:tcPr>
          <w:p w14:paraId="289D1947" w14:textId="6121AF1C" w:rsidR="00712101" w:rsidRPr="00DF018B" w:rsidRDefault="00DF018B" w:rsidP="00AC6D88">
            <w:pPr>
              <w:pStyle w:val="ListParagraph"/>
              <w:widowControl w:val="0"/>
              <w:numPr>
                <w:ilvl w:val="0"/>
                <w:numId w:val="20"/>
              </w:numPr>
              <w:pBdr>
                <w:top w:val="nil"/>
                <w:left w:val="nil"/>
                <w:bottom w:val="nil"/>
                <w:right w:val="nil"/>
                <w:between w:val="nil"/>
              </w:pBdr>
              <w:spacing w:line="240" w:lineRule="auto"/>
              <w:ind w:left="604" w:right="-18"/>
              <w:rPr>
                <w:rFonts w:asciiTheme="majorHAnsi" w:hAnsiTheme="majorHAnsi" w:cstheme="majorHAnsi"/>
              </w:rPr>
            </w:pPr>
            <w:r w:rsidRPr="00DF018B">
              <w:rPr>
                <w:rFonts w:asciiTheme="majorHAnsi" w:hAnsiTheme="majorHAnsi" w:cstheme="majorHAnsi"/>
              </w:rPr>
              <w:t xml:space="preserve">Collaborate with common stakeholders - students, parents/caregivers, teachers, school resource officers, and </w:t>
            </w:r>
            <w:r w:rsidR="00221F81">
              <w:rPr>
                <w:rFonts w:asciiTheme="majorHAnsi" w:hAnsiTheme="majorHAnsi" w:cstheme="majorHAnsi"/>
              </w:rPr>
              <w:t>communities</w:t>
            </w:r>
            <w:r>
              <w:rPr>
                <w:rFonts w:asciiTheme="majorHAnsi" w:hAnsiTheme="majorHAnsi" w:cstheme="majorHAnsi"/>
              </w:rPr>
              <w:t>.</w:t>
            </w:r>
          </w:p>
          <w:p w14:paraId="2B5DA5B1" w14:textId="77777777" w:rsidR="00DF018B" w:rsidRPr="005227D5" w:rsidRDefault="00DF018B" w:rsidP="00AC6D88">
            <w:pPr>
              <w:pStyle w:val="ListParagraph"/>
              <w:widowControl w:val="0"/>
              <w:numPr>
                <w:ilvl w:val="0"/>
                <w:numId w:val="20"/>
              </w:numPr>
              <w:pBdr>
                <w:top w:val="nil"/>
                <w:left w:val="nil"/>
                <w:bottom w:val="nil"/>
                <w:right w:val="nil"/>
                <w:between w:val="nil"/>
              </w:pBdr>
              <w:spacing w:line="240" w:lineRule="auto"/>
              <w:ind w:left="604" w:right="-18"/>
              <w:rPr>
                <w:rFonts w:asciiTheme="majorHAnsi" w:eastAsia="Lato" w:hAnsiTheme="majorHAnsi" w:cstheme="majorHAnsi"/>
                <w:color w:val="141414"/>
              </w:rPr>
            </w:pPr>
            <w:r w:rsidRPr="005227D5">
              <w:rPr>
                <w:rFonts w:asciiTheme="majorHAnsi" w:hAnsiTheme="majorHAnsi" w:cstheme="majorHAnsi"/>
              </w:rPr>
              <w:t>Assist in early identification and management of risk and crisis referrals, including threat assessments</w:t>
            </w:r>
            <w:r>
              <w:rPr>
                <w:rFonts w:asciiTheme="majorHAnsi" w:hAnsiTheme="majorHAnsi" w:cstheme="majorHAnsi"/>
              </w:rPr>
              <w:t>.</w:t>
            </w:r>
            <w:r w:rsidRPr="005227D5">
              <w:rPr>
                <w:rFonts w:asciiTheme="majorHAnsi" w:eastAsia="Lato" w:hAnsiTheme="majorHAnsi" w:cstheme="majorHAnsi"/>
                <w:color w:val="141414"/>
              </w:rPr>
              <w:t xml:space="preserve"> </w:t>
            </w:r>
          </w:p>
          <w:p w14:paraId="359ECF0C" w14:textId="67C2B5C0" w:rsidR="00DF018B" w:rsidRPr="00DF018B" w:rsidRDefault="00DF018B" w:rsidP="00AC6D88">
            <w:pPr>
              <w:pStyle w:val="ListParagraph"/>
              <w:widowControl w:val="0"/>
              <w:numPr>
                <w:ilvl w:val="0"/>
                <w:numId w:val="20"/>
              </w:numPr>
              <w:pBdr>
                <w:top w:val="nil"/>
                <w:left w:val="nil"/>
                <w:bottom w:val="nil"/>
                <w:right w:val="nil"/>
                <w:between w:val="nil"/>
              </w:pBdr>
              <w:spacing w:line="240" w:lineRule="auto"/>
              <w:ind w:left="604" w:right="-18"/>
              <w:rPr>
                <w:rFonts w:asciiTheme="majorHAnsi" w:hAnsiTheme="majorHAnsi" w:cstheme="majorHAnsi"/>
              </w:rPr>
            </w:pPr>
            <w:r w:rsidRPr="00DF018B">
              <w:rPr>
                <w:rFonts w:asciiTheme="majorHAnsi" w:eastAsia="Lato" w:hAnsiTheme="majorHAnsi" w:cstheme="majorHAnsi"/>
                <w:color w:val="141414"/>
              </w:rPr>
              <w:t>Provid</w:t>
            </w:r>
            <w:r w:rsidR="00221F81">
              <w:rPr>
                <w:rFonts w:asciiTheme="majorHAnsi" w:eastAsia="Lato" w:hAnsiTheme="majorHAnsi" w:cstheme="majorHAnsi"/>
                <w:color w:val="141414"/>
              </w:rPr>
              <w:t>e preventative education, skill-</w:t>
            </w:r>
            <w:r w:rsidRPr="00DF018B">
              <w:rPr>
                <w:rFonts w:asciiTheme="majorHAnsi" w:eastAsia="Lato" w:hAnsiTheme="majorHAnsi" w:cstheme="majorHAnsi"/>
                <w:color w:val="141414"/>
              </w:rPr>
              <w:t>building</w:t>
            </w:r>
            <w:r>
              <w:rPr>
                <w:rFonts w:asciiTheme="majorHAnsi" w:eastAsia="Lato" w:hAnsiTheme="majorHAnsi" w:cstheme="majorHAnsi"/>
                <w:color w:val="141414"/>
              </w:rPr>
              <w:t>,</w:t>
            </w:r>
            <w:r w:rsidRPr="00DF018B">
              <w:rPr>
                <w:rFonts w:asciiTheme="majorHAnsi" w:eastAsia="Lato" w:hAnsiTheme="majorHAnsi" w:cstheme="majorHAnsi"/>
                <w:color w:val="141414"/>
              </w:rPr>
              <w:t xml:space="preserve"> and counseling for students during times of transition, </w:t>
            </w:r>
            <w:r w:rsidRPr="00DF018B">
              <w:rPr>
                <w:rFonts w:asciiTheme="majorHAnsi" w:eastAsia="Lato" w:hAnsiTheme="majorHAnsi" w:cstheme="majorHAnsi"/>
                <w:color w:val="141414"/>
              </w:rPr>
              <w:lastRenderedPageBreak/>
              <w:t>separation, heightened stress</w:t>
            </w:r>
            <w:r>
              <w:rPr>
                <w:rFonts w:asciiTheme="majorHAnsi" w:eastAsia="Lato" w:hAnsiTheme="majorHAnsi" w:cstheme="majorHAnsi"/>
                <w:color w:val="141414"/>
              </w:rPr>
              <w:t xml:space="preserve">, </w:t>
            </w:r>
            <w:r w:rsidRPr="00DF018B">
              <w:rPr>
                <w:rFonts w:asciiTheme="majorHAnsi" w:eastAsia="Lato" w:hAnsiTheme="majorHAnsi" w:cstheme="majorHAnsi"/>
                <w:color w:val="141414"/>
              </w:rPr>
              <w:t>and critical need</w:t>
            </w:r>
            <w:r>
              <w:rPr>
                <w:rFonts w:asciiTheme="majorHAnsi" w:eastAsia="Lato" w:hAnsiTheme="majorHAnsi" w:cstheme="majorHAnsi"/>
                <w:color w:val="141414"/>
              </w:rPr>
              <w:t>.</w:t>
            </w:r>
            <w:r w:rsidRPr="00DF018B">
              <w:rPr>
                <w:rFonts w:asciiTheme="majorHAnsi" w:hAnsiTheme="majorHAnsi" w:cstheme="majorHAnsi"/>
              </w:rPr>
              <w:t xml:space="preserve"> </w:t>
            </w:r>
          </w:p>
          <w:p w14:paraId="7B93EFF1" w14:textId="6E00FF34" w:rsidR="00DF018B" w:rsidRPr="00DF018B" w:rsidRDefault="00DF018B" w:rsidP="00AC6D88">
            <w:pPr>
              <w:pStyle w:val="ListParagraph"/>
              <w:widowControl w:val="0"/>
              <w:numPr>
                <w:ilvl w:val="0"/>
                <w:numId w:val="20"/>
              </w:numPr>
              <w:pBdr>
                <w:top w:val="nil"/>
                <w:left w:val="nil"/>
                <w:bottom w:val="nil"/>
                <w:right w:val="nil"/>
                <w:between w:val="nil"/>
              </w:pBdr>
              <w:spacing w:line="240" w:lineRule="auto"/>
              <w:ind w:left="604" w:right="-18"/>
              <w:rPr>
                <w:rFonts w:asciiTheme="majorHAnsi" w:hAnsiTheme="majorHAnsi" w:cstheme="majorHAnsi"/>
              </w:rPr>
            </w:pPr>
            <w:r w:rsidRPr="00DF018B">
              <w:rPr>
                <w:rFonts w:asciiTheme="majorHAnsi" w:hAnsiTheme="majorHAnsi" w:cstheme="majorHAnsi"/>
              </w:rPr>
              <w:t>Work with students individually, in groups</w:t>
            </w:r>
            <w:r w:rsidR="00221F81">
              <w:rPr>
                <w:rFonts w:asciiTheme="majorHAnsi" w:hAnsiTheme="majorHAnsi" w:cstheme="majorHAnsi"/>
              </w:rPr>
              <w:t>,</w:t>
            </w:r>
            <w:r w:rsidRPr="00DF018B">
              <w:rPr>
                <w:rFonts w:asciiTheme="majorHAnsi" w:hAnsiTheme="majorHAnsi" w:cstheme="majorHAnsi"/>
              </w:rPr>
              <w:t xml:space="preserve"> and across classrooms to develop and </w:t>
            </w:r>
            <w:r w:rsidR="00221F81">
              <w:rPr>
                <w:rFonts w:asciiTheme="majorHAnsi" w:hAnsiTheme="majorHAnsi" w:cstheme="majorHAnsi"/>
              </w:rPr>
              <w:t xml:space="preserve">to </w:t>
            </w:r>
            <w:r w:rsidRPr="00DF018B">
              <w:rPr>
                <w:rFonts w:asciiTheme="majorHAnsi" w:hAnsiTheme="majorHAnsi" w:cstheme="majorHAnsi"/>
              </w:rPr>
              <w:t>generalize healthy coping skills (e.g.</w:t>
            </w:r>
            <w:r w:rsidR="00221F81">
              <w:rPr>
                <w:rFonts w:asciiTheme="majorHAnsi" w:hAnsiTheme="majorHAnsi" w:cstheme="majorHAnsi"/>
              </w:rPr>
              <w:t>,</w:t>
            </w:r>
            <w:r w:rsidRPr="00DF018B">
              <w:rPr>
                <w:rFonts w:asciiTheme="majorHAnsi" w:hAnsiTheme="majorHAnsi" w:cstheme="majorHAnsi"/>
              </w:rPr>
              <w:t xml:space="preserve"> self-regulation, anger management, </w:t>
            </w:r>
            <w:r>
              <w:rPr>
                <w:rFonts w:asciiTheme="majorHAnsi" w:hAnsiTheme="majorHAnsi" w:cstheme="majorHAnsi"/>
              </w:rPr>
              <w:t xml:space="preserve">and </w:t>
            </w:r>
            <w:r w:rsidRPr="00DF018B">
              <w:rPr>
                <w:rFonts w:asciiTheme="majorHAnsi" w:hAnsiTheme="majorHAnsi" w:cstheme="majorHAnsi"/>
              </w:rPr>
              <w:t>social problem-so</w:t>
            </w:r>
            <w:r w:rsidR="00221F81">
              <w:rPr>
                <w:rFonts w:asciiTheme="majorHAnsi" w:hAnsiTheme="majorHAnsi" w:cstheme="majorHAnsi"/>
              </w:rPr>
              <w:t>lving).</w:t>
            </w:r>
          </w:p>
          <w:p w14:paraId="3D416407" w14:textId="246D6474" w:rsidR="00DF018B" w:rsidRPr="00DF018B" w:rsidRDefault="00DF018B" w:rsidP="00221F81">
            <w:pPr>
              <w:pStyle w:val="ListParagraph"/>
              <w:widowControl w:val="0"/>
              <w:numPr>
                <w:ilvl w:val="0"/>
                <w:numId w:val="20"/>
              </w:numPr>
              <w:pBdr>
                <w:top w:val="nil"/>
                <w:left w:val="nil"/>
                <w:bottom w:val="nil"/>
                <w:right w:val="nil"/>
                <w:between w:val="nil"/>
              </w:pBdr>
              <w:spacing w:line="240" w:lineRule="auto"/>
              <w:ind w:left="604" w:right="-18"/>
              <w:rPr>
                <w:rFonts w:asciiTheme="majorHAnsi" w:eastAsia="Lato" w:hAnsiTheme="majorHAnsi" w:cstheme="majorHAnsi"/>
                <w:color w:val="141414"/>
              </w:rPr>
            </w:pPr>
            <w:r w:rsidRPr="00DF018B">
              <w:rPr>
                <w:rFonts w:asciiTheme="majorHAnsi" w:eastAsia="Lato" w:hAnsiTheme="majorHAnsi" w:cstheme="majorHAnsi"/>
                <w:color w:val="141414"/>
              </w:rPr>
              <w:t>Use appropriate responses and a variety of intervention strategies to meet the needs of individual</w:t>
            </w:r>
            <w:r w:rsidR="00221F81">
              <w:rPr>
                <w:rFonts w:asciiTheme="majorHAnsi" w:eastAsia="Lato" w:hAnsiTheme="majorHAnsi" w:cstheme="majorHAnsi"/>
                <w:color w:val="141414"/>
              </w:rPr>
              <w:t>s</w:t>
            </w:r>
            <w:r w:rsidRPr="00DF018B">
              <w:rPr>
                <w:rFonts w:asciiTheme="majorHAnsi" w:eastAsia="Lato" w:hAnsiTheme="majorHAnsi" w:cstheme="majorHAnsi"/>
                <w:color w:val="141414"/>
              </w:rPr>
              <w:t>, group</w:t>
            </w:r>
            <w:r w:rsidR="00221F81">
              <w:rPr>
                <w:rFonts w:asciiTheme="majorHAnsi" w:eastAsia="Lato" w:hAnsiTheme="majorHAnsi" w:cstheme="majorHAnsi"/>
                <w:color w:val="141414"/>
              </w:rPr>
              <w:t>s,</w:t>
            </w:r>
            <w:r w:rsidRPr="00DF018B">
              <w:rPr>
                <w:rFonts w:asciiTheme="majorHAnsi" w:eastAsia="Lato" w:hAnsiTheme="majorHAnsi" w:cstheme="majorHAnsi"/>
                <w:color w:val="141414"/>
              </w:rPr>
              <w:t xml:space="preserve"> or school community before, during</w:t>
            </w:r>
            <w:r w:rsidR="00221F81">
              <w:rPr>
                <w:rFonts w:asciiTheme="majorHAnsi" w:eastAsia="Lato" w:hAnsiTheme="majorHAnsi" w:cstheme="majorHAnsi"/>
                <w:color w:val="141414"/>
              </w:rPr>
              <w:t>,</w:t>
            </w:r>
            <w:r w:rsidRPr="00DF018B">
              <w:rPr>
                <w:rFonts w:asciiTheme="majorHAnsi" w:eastAsia="Lato" w:hAnsiTheme="majorHAnsi" w:cstheme="majorHAnsi"/>
                <w:color w:val="141414"/>
              </w:rPr>
              <w:t xml:space="preserve"> and after </w:t>
            </w:r>
            <w:r w:rsidR="00221F81">
              <w:rPr>
                <w:rFonts w:asciiTheme="majorHAnsi" w:eastAsia="Lato" w:hAnsiTheme="majorHAnsi" w:cstheme="majorHAnsi"/>
                <w:color w:val="141414"/>
              </w:rPr>
              <w:t xml:space="preserve">any </w:t>
            </w:r>
            <w:r w:rsidRPr="00DF018B">
              <w:rPr>
                <w:rFonts w:asciiTheme="majorHAnsi" w:eastAsia="Lato" w:hAnsiTheme="majorHAnsi" w:cstheme="majorHAnsi"/>
                <w:color w:val="141414"/>
              </w:rPr>
              <w:t>crisis</w:t>
            </w:r>
            <w:r>
              <w:rPr>
                <w:rFonts w:asciiTheme="majorHAnsi" w:eastAsia="Lato" w:hAnsiTheme="majorHAnsi" w:cstheme="majorHAnsi"/>
                <w:color w:val="141414"/>
              </w:rPr>
              <w:t>.</w:t>
            </w:r>
          </w:p>
        </w:tc>
      </w:tr>
    </w:tbl>
    <w:p w14:paraId="428121E2" w14:textId="77777777" w:rsidR="00DF018B" w:rsidRPr="00DF018B" w:rsidRDefault="00DF018B" w:rsidP="00AC6D88">
      <w:pPr>
        <w:spacing w:line="240" w:lineRule="auto"/>
        <w:ind w:right="-14"/>
        <w:jc w:val="both"/>
        <w:rPr>
          <w:rFonts w:ascii="Calibri" w:hAnsi="Calibri" w:cs="Calibri"/>
        </w:rPr>
      </w:pPr>
    </w:p>
    <w:p w14:paraId="392E9607" w14:textId="4CCA0E60" w:rsidR="00EC1186" w:rsidRPr="00AC6D88" w:rsidRDefault="004B3D3A" w:rsidP="00AC6D88">
      <w:pPr>
        <w:pStyle w:val="ListParagraph"/>
        <w:numPr>
          <w:ilvl w:val="0"/>
          <w:numId w:val="14"/>
        </w:numPr>
        <w:spacing w:line="240" w:lineRule="auto"/>
        <w:ind w:left="360" w:right="-14"/>
        <w:jc w:val="both"/>
        <w:rPr>
          <w:color w:val="000000" w:themeColor="text1"/>
        </w:rPr>
      </w:pPr>
      <w:r>
        <w:rPr>
          <w:rFonts w:ascii="Calibri" w:hAnsi="Calibri" w:cs="Calibri"/>
          <w:color w:val="000000" w:themeColor="text1"/>
        </w:rPr>
        <w:t>S</w:t>
      </w:r>
      <w:r w:rsidRPr="00AC6D88">
        <w:rPr>
          <w:rFonts w:ascii="Calibri" w:hAnsi="Calibri" w:cs="Calibri"/>
          <w:color w:val="000000" w:themeColor="text1"/>
        </w:rPr>
        <w:t xml:space="preserve">chool </w:t>
      </w:r>
      <w:r>
        <w:rPr>
          <w:rFonts w:ascii="Calibri" w:hAnsi="Calibri" w:cs="Calibri"/>
          <w:color w:val="000000" w:themeColor="text1"/>
        </w:rPr>
        <w:t>C</w:t>
      </w:r>
      <w:r w:rsidRPr="00AC6D88">
        <w:rPr>
          <w:rFonts w:ascii="Calibri" w:hAnsi="Calibri" w:cs="Calibri"/>
          <w:color w:val="000000" w:themeColor="text1"/>
        </w:rPr>
        <w:t xml:space="preserve">ounselors, </w:t>
      </w:r>
      <w:r>
        <w:rPr>
          <w:rFonts w:ascii="Calibri" w:hAnsi="Calibri" w:cs="Calibri"/>
          <w:color w:val="000000" w:themeColor="text1"/>
        </w:rPr>
        <w:t>S</w:t>
      </w:r>
      <w:r w:rsidRPr="00AC6D88">
        <w:rPr>
          <w:rFonts w:ascii="Calibri" w:hAnsi="Calibri" w:cs="Calibri"/>
          <w:color w:val="000000" w:themeColor="text1"/>
        </w:rPr>
        <w:t xml:space="preserve">chool </w:t>
      </w:r>
      <w:r>
        <w:rPr>
          <w:rFonts w:ascii="Calibri" w:hAnsi="Calibri" w:cs="Calibri"/>
          <w:color w:val="000000" w:themeColor="text1"/>
        </w:rPr>
        <w:t>P</w:t>
      </w:r>
      <w:r w:rsidRPr="00AC6D88">
        <w:rPr>
          <w:rFonts w:ascii="Calibri" w:hAnsi="Calibri" w:cs="Calibri"/>
          <w:color w:val="000000" w:themeColor="text1"/>
        </w:rPr>
        <w:t xml:space="preserve">sychologists, and </w:t>
      </w:r>
      <w:r>
        <w:rPr>
          <w:rFonts w:ascii="Calibri" w:hAnsi="Calibri" w:cs="Calibri"/>
          <w:color w:val="000000" w:themeColor="text1"/>
        </w:rPr>
        <w:t>S</w:t>
      </w:r>
      <w:r w:rsidRPr="00AC6D88">
        <w:rPr>
          <w:rFonts w:ascii="Calibri" w:hAnsi="Calibri" w:cs="Calibri"/>
          <w:color w:val="000000" w:themeColor="text1"/>
        </w:rPr>
        <w:t xml:space="preserve">chool </w:t>
      </w:r>
      <w:r>
        <w:rPr>
          <w:rFonts w:ascii="Calibri" w:hAnsi="Calibri" w:cs="Calibri"/>
          <w:color w:val="000000" w:themeColor="text1"/>
        </w:rPr>
        <w:t>S</w:t>
      </w:r>
      <w:r w:rsidRPr="00AC6D88">
        <w:rPr>
          <w:rFonts w:ascii="Calibri" w:hAnsi="Calibri" w:cs="Calibri"/>
          <w:color w:val="000000" w:themeColor="text1"/>
        </w:rPr>
        <w:t xml:space="preserve">ocial </w:t>
      </w:r>
      <w:r>
        <w:rPr>
          <w:rFonts w:ascii="Calibri" w:hAnsi="Calibri" w:cs="Calibri"/>
          <w:color w:val="000000" w:themeColor="text1"/>
        </w:rPr>
        <w:t>W</w:t>
      </w:r>
      <w:r w:rsidRPr="00AC6D88">
        <w:rPr>
          <w:rFonts w:ascii="Calibri" w:hAnsi="Calibri" w:cs="Calibri"/>
          <w:color w:val="000000" w:themeColor="text1"/>
        </w:rPr>
        <w:t xml:space="preserve">orkers </w:t>
      </w:r>
      <w:r w:rsidR="00712101" w:rsidRPr="00AC6D88">
        <w:rPr>
          <w:rFonts w:ascii="Calibri" w:hAnsi="Calibri" w:cs="Calibri"/>
          <w:color w:val="000000" w:themeColor="text1"/>
        </w:rPr>
        <w:t xml:space="preserve">are far too frequently assigned roles and responsibilities that </w:t>
      </w:r>
      <w:r w:rsidR="00221F81">
        <w:rPr>
          <w:rFonts w:ascii="Calibri" w:hAnsi="Calibri" w:cs="Calibri"/>
          <w:color w:val="000000" w:themeColor="text1"/>
        </w:rPr>
        <w:t>do not take advantage of</w:t>
      </w:r>
      <w:r w:rsidR="00712101" w:rsidRPr="00AC6D88">
        <w:rPr>
          <w:rFonts w:ascii="Calibri" w:hAnsi="Calibri" w:cs="Calibri"/>
          <w:color w:val="000000" w:themeColor="text1"/>
        </w:rPr>
        <w:t xml:space="preserve"> </w:t>
      </w:r>
      <w:r w:rsidR="00221F81">
        <w:rPr>
          <w:rFonts w:ascii="Calibri" w:hAnsi="Calibri" w:cs="Calibri"/>
          <w:color w:val="000000" w:themeColor="text1"/>
        </w:rPr>
        <w:t>their specialized training</w:t>
      </w:r>
      <w:r w:rsidR="00712101" w:rsidRPr="00AC6D88">
        <w:rPr>
          <w:rFonts w:ascii="Calibri" w:hAnsi="Calibri" w:cs="Calibri"/>
          <w:color w:val="000000" w:themeColor="text1"/>
        </w:rPr>
        <w:t>.  </w:t>
      </w:r>
      <w:r w:rsidR="00DF018B" w:rsidRPr="00AC6D88">
        <w:rPr>
          <w:rFonts w:ascii="Calibri" w:hAnsi="Calibri" w:cs="Calibri"/>
          <w:color w:val="000000" w:themeColor="text1"/>
        </w:rPr>
        <w:t>These professionals</w:t>
      </w:r>
      <w:r w:rsidR="00AC6D88">
        <w:rPr>
          <w:rFonts w:ascii="Calibri" w:hAnsi="Calibri" w:cs="Calibri"/>
          <w:color w:val="000000" w:themeColor="text1"/>
        </w:rPr>
        <w:t>’</w:t>
      </w:r>
      <w:r w:rsidR="00DF018B" w:rsidRPr="00AC6D88">
        <w:rPr>
          <w:rFonts w:ascii="Calibri" w:hAnsi="Calibri" w:cs="Calibri"/>
          <w:color w:val="000000" w:themeColor="text1"/>
        </w:rPr>
        <w:t xml:space="preserve"> u</w:t>
      </w:r>
      <w:r w:rsidR="00712101" w:rsidRPr="00AC6D88">
        <w:rPr>
          <w:rFonts w:ascii="Calibri" w:hAnsi="Calibri" w:cs="Calibri"/>
          <w:color w:val="000000" w:themeColor="text1"/>
        </w:rPr>
        <w:t xml:space="preserve">nique skills sets </w:t>
      </w:r>
      <w:r w:rsidR="00AC6D88">
        <w:rPr>
          <w:rFonts w:asciiTheme="majorHAnsi" w:hAnsiTheme="majorHAnsi" w:cstheme="majorHAnsi"/>
        </w:rPr>
        <w:t>are</w:t>
      </w:r>
      <w:r w:rsidR="00712101" w:rsidRPr="00AC6D88">
        <w:rPr>
          <w:rFonts w:asciiTheme="majorHAnsi" w:hAnsiTheme="majorHAnsi" w:cstheme="majorHAnsi"/>
        </w:rPr>
        <w:t xml:space="preserve"> overlooked or underutilized, which interferes with the</w:t>
      </w:r>
      <w:r w:rsidR="00221F81">
        <w:rPr>
          <w:rFonts w:asciiTheme="majorHAnsi" w:hAnsiTheme="majorHAnsi" w:cstheme="majorHAnsi"/>
        </w:rPr>
        <w:t>ir</w:t>
      </w:r>
      <w:r w:rsidR="00712101" w:rsidRPr="00AC6D88">
        <w:rPr>
          <w:rFonts w:asciiTheme="majorHAnsi" w:hAnsiTheme="majorHAnsi" w:cstheme="majorHAnsi"/>
        </w:rPr>
        <w:t xml:space="preserve"> ability to provide direct support/intervention to students, </w:t>
      </w:r>
      <w:r w:rsidR="00221F81">
        <w:rPr>
          <w:rFonts w:asciiTheme="majorHAnsi" w:hAnsiTheme="majorHAnsi" w:cstheme="majorHAnsi"/>
        </w:rPr>
        <w:t xml:space="preserve">to </w:t>
      </w:r>
      <w:r w:rsidR="00712101" w:rsidRPr="00AC6D88">
        <w:rPr>
          <w:rFonts w:asciiTheme="majorHAnsi" w:hAnsiTheme="majorHAnsi" w:cstheme="majorHAnsi"/>
        </w:rPr>
        <w:t xml:space="preserve">enhance instructional practices, </w:t>
      </w:r>
      <w:r w:rsidR="00221F81">
        <w:rPr>
          <w:rFonts w:asciiTheme="majorHAnsi" w:hAnsiTheme="majorHAnsi" w:cstheme="majorHAnsi"/>
        </w:rPr>
        <w:t xml:space="preserve">to </w:t>
      </w:r>
      <w:r w:rsidR="00712101" w:rsidRPr="00AC6D88">
        <w:rPr>
          <w:rFonts w:asciiTheme="majorHAnsi" w:hAnsiTheme="majorHAnsi" w:cstheme="majorHAnsi"/>
        </w:rPr>
        <w:t>facilitate home-school collaborations,</w:t>
      </w:r>
      <w:r w:rsidR="00221F81">
        <w:rPr>
          <w:rFonts w:asciiTheme="majorHAnsi" w:hAnsiTheme="majorHAnsi" w:cstheme="majorHAnsi"/>
        </w:rPr>
        <w:t xml:space="preserve"> to</w:t>
      </w:r>
      <w:r w:rsidR="00712101" w:rsidRPr="00AC6D88">
        <w:rPr>
          <w:rFonts w:asciiTheme="majorHAnsi" w:hAnsiTheme="majorHAnsi" w:cstheme="majorHAnsi"/>
        </w:rPr>
        <w:t xml:space="preserve"> improve school-wide policies, and </w:t>
      </w:r>
      <w:r w:rsidR="00221F81">
        <w:rPr>
          <w:rFonts w:asciiTheme="majorHAnsi" w:hAnsiTheme="majorHAnsi" w:cstheme="majorHAnsi"/>
        </w:rPr>
        <w:t xml:space="preserve">to </w:t>
      </w:r>
      <w:r w:rsidR="00712101" w:rsidRPr="00AC6D88">
        <w:rPr>
          <w:rFonts w:asciiTheme="majorHAnsi" w:hAnsiTheme="majorHAnsi" w:cstheme="majorHAnsi"/>
        </w:rPr>
        <w:t>coordinate needed services with community-based partners.</w:t>
      </w:r>
    </w:p>
    <w:p w14:paraId="14C26BD4" w14:textId="77777777" w:rsidR="000A016D" w:rsidRPr="009448B8" w:rsidRDefault="000A016D" w:rsidP="00AC6D88">
      <w:pPr>
        <w:spacing w:line="240" w:lineRule="auto"/>
        <w:ind w:right="-14"/>
        <w:rPr>
          <w:sz w:val="18"/>
        </w:rPr>
      </w:pPr>
    </w:p>
    <w:tbl>
      <w:tblPr>
        <w:tblStyle w:val="a"/>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492"/>
      </w:tblGrid>
      <w:tr w:rsidR="005C57A2" w:rsidRPr="00DC0CE5" w14:paraId="3754B329" w14:textId="77777777" w:rsidTr="00AC6D88">
        <w:trPr>
          <w:jc w:val="center"/>
        </w:trPr>
        <w:tc>
          <w:tcPr>
            <w:tcW w:w="5000" w:type="pct"/>
            <w:shd w:val="clear" w:color="auto" w:fill="DAEEF3" w:themeFill="accent5" w:themeFillTint="33"/>
            <w:tcMar>
              <w:top w:w="100" w:type="dxa"/>
              <w:left w:w="100" w:type="dxa"/>
              <w:bottom w:w="100" w:type="dxa"/>
              <w:right w:w="100" w:type="dxa"/>
            </w:tcMar>
          </w:tcPr>
          <w:p w14:paraId="571E0FE5" w14:textId="79EF2A46" w:rsidR="005C57A2" w:rsidRPr="001C2E36" w:rsidRDefault="001C2E36" w:rsidP="00AC6D88">
            <w:pPr>
              <w:widowControl w:val="0"/>
              <w:pBdr>
                <w:top w:val="nil"/>
                <w:left w:val="nil"/>
                <w:bottom w:val="nil"/>
                <w:right w:val="nil"/>
                <w:between w:val="nil"/>
              </w:pBdr>
              <w:spacing w:line="240" w:lineRule="auto"/>
              <w:ind w:right="-18"/>
              <w:rPr>
                <w:rFonts w:asciiTheme="majorHAnsi" w:hAnsiTheme="majorHAnsi" w:cstheme="majorHAnsi"/>
                <w:b/>
              </w:rPr>
            </w:pPr>
            <w:r w:rsidRPr="001C2E36">
              <w:rPr>
                <w:rFonts w:asciiTheme="majorHAnsi" w:eastAsia="Lato" w:hAnsiTheme="majorHAnsi" w:cstheme="majorHAnsi"/>
                <w:b/>
                <w:color w:val="141414"/>
              </w:rPr>
              <w:t>School Counselors, School Psychologist</w:t>
            </w:r>
            <w:r w:rsidR="009B3C61">
              <w:rPr>
                <w:rFonts w:asciiTheme="majorHAnsi" w:eastAsia="Lato" w:hAnsiTheme="majorHAnsi" w:cstheme="majorHAnsi"/>
                <w:b/>
                <w:color w:val="141414"/>
              </w:rPr>
              <w:t>s</w:t>
            </w:r>
            <w:r w:rsidR="00E84914">
              <w:rPr>
                <w:rFonts w:asciiTheme="majorHAnsi" w:eastAsia="Lato" w:hAnsiTheme="majorHAnsi" w:cstheme="majorHAnsi"/>
                <w:b/>
                <w:color w:val="141414"/>
              </w:rPr>
              <w:t xml:space="preserve"> and School Social Workers act </w:t>
            </w:r>
            <w:r w:rsidRPr="001C2E36">
              <w:rPr>
                <w:rFonts w:asciiTheme="majorHAnsi" w:eastAsia="Lato" w:hAnsiTheme="majorHAnsi" w:cstheme="majorHAnsi"/>
                <w:b/>
                <w:color w:val="141414"/>
              </w:rPr>
              <w:t>as</w:t>
            </w:r>
            <w:r w:rsidR="005C57A2" w:rsidRPr="001C2E36">
              <w:rPr>
                <w:rFonts w:asciiTheme="majorHAnsi" w:eastAsia="Lato" w:hAnsiTheme="majorHAnsi" w:cstheme="majorHAnsi"/>
                <w:b/>
                <w:color w:val="141414"/>
              </w:rPr>
              <w:t xml:space="preserve"> systems change agent</w:t>
            </w:r>
            <w:r w:rsidRPr="001C2E36">
              <w:rPr>
                <w:rFonts w:asciiTheme="majorHAnsi" w:eastAsia="Lato" w:hAnsiTheme="majorHAnsi" w:cstheme="majorHAnsi"/>
                <w:b/>
                <w:color w:val="141414"/>
              </w:rPr>
              <w:t>s</w:t>
            </w:r>
            <w:r w:rsidR="005C57A2" w:rsidRPr="001C2E36">
              <w:rPr>
                <w:rFonts w:asciiTheme="majorHAnsi" w:eastAsia="Lato" w:hAnsiTheme="majorHAnsi" w:cstheme="majorHAnsi"/>
                <w:b/>
                <w:color w:val="141414"/>
              </w:rPr>
              <w:t xml:space="preserve"> in collaboration with the school leadership team</w:t>
            </w:r>
            <w:r w:rsidR="00221F81">
              <w:rPr>
                <w:rFonts w:asciiTheme="majorHAnsi" w:eastAsia="Lato" w:hAnsiTheme="majorHAnsi" w:cstheme="majorHAnsi"/>
                <w:b/>
                <w:color w:val="141414"/>
              </w:rPr>
              <w:t>s</w:t>
            </w:r>
            <w:r w:rsidR="005C57A2" w:rsidRPr="001C2E36">
              <w:rPr>
                <w:rFonts w:asciiTheme="majorHAnsi" w:eastAsia="Lato" w:hAnsiTheme="majorHAnsi" w:cstheme="majorHAnsi"/>
                <w:b/>
                <w:color w:val="141414"/>
              </w:rPr>
              <w:t xml:space="preserve"> to ensure a safe, supportive, and respectful school climate</w:t>
            </w:r>
            <w:r w:rsidR="00AC6D88">
              <w:rPr>
                <w:rFonts w:asciiTheme="majorHAnsi" w:eastAsia="Lato" w:hAnsiTheme="majorHAnsi" w:cstheme="majorHAnsi"/>
                <w:b/>
                <w:color w:val="141414"/>
              </w:rPr>
              <w:t>s</w:t>
            </w:r>
            <w:r w:rsidR="00221F81">
              <w:rPr>
                <w:rFonts w:asciiTheme="majorHAnsi" w:eastAsia="Lato" w:hAnsiTheme="majorHAnsi" w:cstheme="majorHAnsi"/>
                <w:b/>
                <w:color w:val="141414"/>
              </w:rPr>
              <w:t xml:space="preserve"> that promote the social-</w:t>
            </w:r>
            <w:r w:rsidR="005C57A2" w:rsidRPr="001C2E36">
              <w:rPr>
                <w:rFonts w:asciiTheme="majorHAnsi" w:eastAsia="Lato" w:hAnsiTheme="majorHAnsi" w:cstheme="majorHAnsi"/>
                <w:b/>
                <w:color w:val="141414"/>
              </w:rPr>
              <w:t>emotional</w:t>
            </w:r>
            <w:r w:rsidR="004B3D3A">
              <w:rPr>
                <w:rFonts w:asciiTheme="majorHAnsi" w:eastAsia="Lato" w:hAnsiTheme="majorHAnsi" w:cstheme="majorHAnsi"/>
                <w:b/>
                <w:color w:val="141414"/>
              </w:rPr>
              <w:t xml:space="preserve">, </w:t>
            </w:r>
            <w:r w:rsidR="005C57A2" w:rsidRPr="001C2E36">
              <w:rPr>
                <w:rFonts w:asciiTheme="majorHAnsi" w:eastAsia="Lato" w:hAnsiTheme="majorHAnsi" w:cstheme="majorHAnsi"/>
                <w:b/>
                <w:color w:val="141414"/>
              </w:rPr>
              <w:t>academic development</w:t>
            </w:r>
            <w:r w:rsidR="004B3D3A">
              <w:rPr>
                <w:rFonts w:asciiTheme="majorHAnsi" w:eastAsia="Lato" w:hAnsiTheme="majorHAnsi" w:cstheme="majorHAnsi"/>
                <w:b/>
                <w:color w:val="141414"/>
              </w:rPr>
              <w:t>,</w:t>
            </w:r>
            <w:r w:rsidR="005C57A2" w:rsidRPr="001C2E36">
              <w:rPr>
                <w:rFonts w:asciiTheme="majorHAnsi" w:eastAsia="Lato" w:hAnsiTheme="majorHAnsi" w:cstheme="majorHAnsi"/>
                <w:b/>
                <w:color w:val="141414"/>
              </w:rPr>
              <w:t xml:space="preserve"> and success of all students.</w:t>
            </w:r>
          </w:p>
        </w:tc>
      </w:tr>
      <w:tr w:rsidR="00DF018B" w:rsidRPr="00DC0CE5" w14:paraId="6CD5D606" w14:textId="77777777" w:rsidTr="00AC6D88">
        <w:trPr>
          <w:jc w:val="center"/>
        </w:trPr>
        <w:tc>
          <w:tcPr>
            <w:tcW w:w="5000" w:type="pct"/>
            <w:shd w:val="clear" w:color="auto" w:fill="auto"/>
            <w:tcMar>
              <w:top w:w="100" w:type="dxa"/>
              <w:left w:w="100" w:type="dxa"/>
              <w:bottom w:w="100" w:type="dxa"/>
              <w:right w:w="100" w:type="dxa"/>
            </w:tcMar>
          </w:tcPr>
          <w:p w14:paraId="1C8E84F3" w14:textId="77777777" w:rsidR="00DF018B" w:rsidRPr="00DF018B" w:rsidRDefault="00DF018B" w:rsidP="00AC6D88">
            <w:pPr>
              <w:pStyle w:val="ListParagraph"/>
              <w:widowControl w:val="0"/>
              <w:numPr>
                <w:ilvl w:val="0"/>
                <w:numId w:val="22"/>
              </w:numPr>
              <w:spacing w:line="240" w:lineRule="auto"/>
              <w:ind w:left="604" w:right="-18"/>
              <w:rPr>
                <w:rFonts w:asciiTheme="majorHAnsi" w:hAnsiTheme="majorHAnsi" w:cstheme="majorHAnsi"/>
              </w:rPr>
            </w:pPr>
            <w:r w:rsidRPr="00DF018B">
              <w:rPr>
                <w:rFonts w:asciiTheme="majorHAnsi" w:hAnsiTheme="majorHAnsi" w:cstheme="majorHAnsi"/>
              </w:rPr>
              <w:t>Help design, guide and evaluate school-wide prevention frameworks such as positive behavior supports and anti-bullying campaigns.</w:t>
            </w:r>
          </w:p>
          <w:p w14:paraId="228F2D2E" w14:textId="6735C7F2" w:rsidR="00DF018B" w:rsidRPr="00DF018B" w:rsidRDefault="00DF018B" w:rsidP="00AC6D88">
            <w:pPr>
              <w:pStyle w:val="ListParagraph"/>
              <w:widowControl w:val="0"/>
              <w:numPr>
                <w:ilvl w:val="0"/>
                <w:numId w:val="22"/>
              </w:numPr>
              <w:spacing w:line="240" w:lineRule="auto"/>
              <w:ind w:left="604" w:right="-18"/>
              <w:rPr>
                <w:rFonts w:asciiTheme="majorHAnsi" w:hAnsiTheme="majorHAnsi" w:cstheme="majorHAnsi"/>
              </w:rPr>
            </w:pPr>
            <w:r w:rsidRPr="00DF018B">
              <w:rPr>
                <w:rFonts w:asciiTheme="majorHAnsi" w:hAnsiTheme="majorHAnsi" w:cstheme="majorHAnsi"/>
              </w:rPr>
              <w:t>Ensure</w:t>
            </w:r>
            <w:r w:rsidR="00221F81">
              <w:rPr>
                <w:rFonts w:asciiTheme="majorHAnsi" w:hAnsiTheme="majorHAnsi" w:cstheme="majorHAnsi"/>
              </w:rPr>
              <w:t xml:space="preserve"> that</w:t>
            </w:r>
            <w:r w:rsidRPr="00DF018B">
              <w:rPr>
                <w:rFonts w:asciiTheme="majorHAnsi" w:hAnsiTheme="majorHAnsi" w:cstheme="majorHAnsi"/>
              </w:rPr>
              <w:t xml:space="preserve"> schools have appropriate processes for referring and reporting students at-risk for or in need of academic, behavioral, or mental health support services</w:t>
            </w:r>
            <w:r>
              <w:rPr>
                <w:rFonts w:asciiTheme="majorHAnsi" w:hAnsiTheme="majorHAnsi" w:cstheme="majorHAnsi"/>
              </w:rPr>
              <w:t>.</w:t>
            </w:r>
            <w:r w:rsidRPr="00DF018B">
              <w:rPr>
                <w:rFonts w:asciiTheme="majorHAnsi" w:hAnsiTheme="majorHAnsi" w:cstheme="majorHAnsi"/>
              </w:rPr>
              <w:t xml:space="preserve"> </w:t>
            </w:r>
          </w:p>
          <w:p w14:paraId="736EC56E" w14:textId="368E1E57" w:rsidR="00DF018B" w:rsidRDefault="00221F81" w:rsidP="00AC6D88">
            <w:pPr>
              <w:pStyle w:val="ListParagraph"/>
              <w:numPr>
                <w:ilvl w:val="0"/>
                <w:numId w:val="22"/>
              </w:numPr>
              <w:ind w:left="604" w:right="-18"/>
              <w:rPr>
                <w:rFonts w:asciiTheme="majorHAnsi" w:hAnsiTheme="majorHAnsi" w:cstheme="majorHAnsi"/>
              </w:rPr>
            </w:pPr>
            <w:r>
              <w:rPr>
                <w:rFonts w:asciiTheme="majorHAnsi" w:hAnsiTheme="majorHAnsi" w:cstheme="majorHAnsi"/>
              </w:rPr>
              <w:t>Foster</w:t>
            </w:r>
            <w:r w:rsidR="00DF018B" w:rsidRPr="00DF018B">
              <w:rPr>
                <w:rFonts w:asciiTheme="majorHAnsi" w:hAnsiTheme="majorHAnsi" w:cstheme="majorHAnsi"/>
              </w:rPr>
              <w:t xml:space="preserve"> student success in schools through increased attendance, feelings of acceptance, decreased discipline referrals, increased engagement</w:t>
            </w:r>
            <w:r>
              <w:rPr>
                <w:rFonts w:asciiTheme="majorHAnsi" w:hAnsiTheme="majorHAnsi" w:cstheme="majorHAnsi"/>
              </w:rPr>
              <w:t>,</w:t>
            </w:r>
            <w:r w:rsidR="00DF018B" w:rsidRPr="00DF018B">
              <w:rPr>
                <w:rFonts w:asciiTheme="majorHAnsi" w:hAnsiTheme="majorHAnsi" w:cstheme="majorHAnsi"/>
              </w:rPr>
              <w:t xml:space="preserve"> and academic </w:t>
            </w:r>
            <w:r>
              <w:rPr>
                <w:rFonts w:asciiTheme="majorHAnsi" w:hAnsiTheme="majorHAnsi" w:cstheme="majorHAnsi"/>
              </w:rPr>
              <w:t>enhancement</w:t>
            </w:r>
            <w:r w:rsidR="00DF018B">
              <w:rPr>
                <w:rFonts w:asciiTheme="majorHAnsi" w:hAnsiTheme="majorHAnsi" w:cstheme="majorHAnsi"/>
              </w:rPr>
              <w:t>.</w:t>
            </w:r>
          </w:p>
          <w:p w14:paraId="2A2BC94A" w14:textId="4624134D" w:rsidR="00DF018B" w:rsidRPr="00DF018B" w:rsidRDefault="00DF018B" w:rsidP="00AC6D88">
            <w:pPr>
              <w:pStyle w:val="ListParagraph"/>
              <w:numPr>
                <w:ilvl w:val="0"/>
                <w:numId w:val="22"/>
              </w:numPr>
              <w:ind w:left="604" w:right="-18"/>
            </w:pPr>
            <w:r w:rsidRPr="00DF018B">
              <w:rPr>
                <w:rFonts w:asciiTheme="majorHAnsi" w:hAnsiTheme="majorHAnsi" w:cstheme="majorHAnsi"/>
              </w:rPr>
              <w:t xml:space="preserve">Promote cultural competence and foster school climates that recognize, support, and celebrate all student populations. </w:t>
            </w:r>
          </w:p>
        </w:tc>
      </w:tr>
    </w:tbl>
    <w:p w14:paraId="4498629B" w14:textId="77777777" w:rsidR="002B0CD6" w:rsidRPr="009448B8" w:rsidRDefault="002B0CD6" w:rsidP="00AC6D88">
      <w:pPr>
        <w:ind w:right="-18"/>
        <w:rPr>
          <w:rFonts w:asciiTheme="majorHAnsi" w:hAnsiTheme="majorHAnsi" w:cstheme="majorHAnsi"/>
          <w:sz w:val="18"/>
        </w:rPr>
      </w:pPr>
    </w:p>
    <w:p w14:paraId="45D3EA0B" w14:textId="08C624F7" w:rsidR="0084745F" w:rsidRPr="00AC6D88" w:rsidRDefault="0084745F" w:rsidP="00221F81">
      <w:pPr>
        <w:ind w:right="-18"/>
        <w:jc w:val="both"/>
        <w:rPr>
          <w:rFonts w:asciiTheme="majorHAnsi" w:hAnsiTheme="majorHAnsi" w:cstheme="majorHAnsi"/>
        </w:rPr>
      </w:pPr>
      <w:r w:rsidRPr="00AC6D88">
        <w:rPr>
          <w:rFonts w:asciiTheme="majorHAnsi" w:hAnsiTheme="majorHAnsi" w:cstheme="majorHAnsi"/>
        </w:rPr>
        <w:t>This document was developed collaboratively by the Florida School Counselor Association</w:t>
      </w:r>
      <w:r w:rsidR="004B3D3A">
        <w:rPr>
          <w:rFonts w:asciiTheme="majorHAnsi" w:hAnsiTheme="majorHAnsi" w:cstheme="majorHAnsi"/>
        </w:rPr>
        <w:t xml:space="preserve"> (FSCA)</w:t>
      </w:r>
      <w:r w:rsidRPr="00AC6D88">
        <w:rPr>
          <w:rFonts w:asciiTheme="majorHAnsi" w:hAnsiTheme="majorHAnsi" w:cstheme="majorHAnsi"/>
        </w:rPr>
        <w:t>, the Florida Association of School Psychologists</w:t>
      </w:r>
      <w:r w:rsidR="004B3D3A">
        <w:rPr>
          <w:rFonts w:asciiTheme="majorHAnsi" w:hAnsiTheme="majorHAnsi" w:cstheme="majorHAnsi"/>
        </w:rPr>
        <w:t xml:space="preserve"> (FASP)</w:t>
      </w:r>
      <w:r w:rsidRPr="00AC6D88">
        <w:rPr>
          <w:rFonts w:asciiTheme="majorHAnsi" w:hAnsiTheme="majorHAnsi" w:cstheme="majorHAnsi"/>
        </w:rPr>
        <w:t>, and the Florida Association of School Social Workers</w:t>
      </w:r>
      <w:r w:rsidR="004B3D3A">
        <w:rPr>
          <w:rFonts w:asciiTheme="majorHAnsi" w:hAnsiTheme="majorHAnsi" w:cstheme="majorHAnsi"/>
        </w:rPr>
        <w:t xml:space="preserve"> (FASSW)</w:t>
      </w:r>
      <w:r w:rsidR="00221F81">
        <w:rPr>
          <w:rFonts w:asciiTheme="majorHAnsi" w:hAnsiTheme="majorHAnsi" w:cstheme="majorHAnsi"/>
        </w:rPr>
        <w:t xml:space="preserve">, together </w:t>
      </w:r>
      <w:r w:rsidRPr="00AC6D88">
        <w:rPr>
          <w:rFonts w:asciiTheme="majorHAnsi" w:hAnsiTheme="majorHAnsi" w:cstheme="majorHAnsi"/>
        </w:rPr>
        <w:t>representing approximately</w:t>
      </w:r>
      <w:r w:rsidRPr="00AC6D88">
        <w:rPr>
          <w:rFonts w:asciiTheme="majorHAnsi" w:hAnsiTheme="majorHAnsi" w:cstheme="majorHAnsi"/>
          <w:color w:val="000000" w:themeColor="text1"/>
        </w:rPr>
        <w:t xml:space="preserve"> </w:t>
      </w:r>
      <w:r w:rsidR="00606FC9" w:rsidRPr="00AC6D88">
        <w:rPr>
          <w:rFonts w:asciiTheme="majorHAnsi" w:hAnsiTheme="majorHAnsi" w:cstheme="majorHAnsi"/>
          <w:color w:val="000000" w:themeColor="text1"/>
        </w:rPr>
        <w:t xml:space="preserve">8,300 </w:t>
      </w:r>
      <w:r w:rsidRPr="00AC6D88">
        <w:rPr>
          <w:rFonts w:asciiTheme="majorHAnsi" w:hAnsiTheme="majorHAnsi" w:cstheme="majorHAnsi"/>
        </w:rPr>
        <w:t>p</w:t>
      </w:r>
      <w:r w:rsidR="00C570E2" w:rsidRPr="00AC6D88">
        <w:rPr>
          <w:rFonts w:asciiTheme="majorHAnsi" w:hAnsiTheme="majorHAnsi" w:cstheme="majorHAnsi"/>
        </w:rPr>
        <w:t>rofessionals across the state</w:t>
      </w:r>
      <w:r w:rsidRPr="00AC6D88">
        <w:rPr>
          <w:rFonts w:asciiTheme="majorHAnsi" w:hAnsiTheme="majorHAnsi" w:cstheme="majorHAnsi"/>
        </w:rPr>
        <w:t>.</w:t>
      </w:r>
      <w:r w:rsidR="00606FC9" w:rsidRPr="00AC6D88">
        <w:rPr>
          <w:rFonts w:asciiTheme="majorHAnsi" w:hAnsiTheme="majorHAnsi" w:cstheme="majorHAnsi"/>
        </w:rPr>
        <w:t xml:space="preserve"> </w:t>
      </w:r>
    </w:p>
    <w:p w14:paraId="2DDE579D" w14:textId="77777777" w:rsidR="0084745F" w:rsidRPr="009448B8" w:rsidRDefault="0084745F" w:rsidP="00AC6D88">
      <w:pPr>
        <w:ind w:right="-18"/>
        <w:jc w:val="both"/>
        <w:rPr>
          <w:rFonts w:ascii="Calibri" w:hAnsi="Calibri" w:cstheme="majorHAnsi"/>
          <w:color w:val="141414"/>
          <w:sz w:val="18"/>
        </w:rPr>
      </w:pPr>
    </w:p>
    <w:p w14:paraId="250BA130" w14:textId="29E888CE" w:rsidR="00BB135E" w:rsidRPr="00221F81" w:rsidRDefault="00E34A56" w:rsidP="00AC6D88">
      <w:pPr>
        <w:ind w:right="-18"/>
        <w:jc w:val="both"/>
        <w:rPr>
          <w:rFonts w:ascii="Calibri" w:eastAsia="Lato" w:hAnsi="Calibri" w:cstheme="majorHAnsi"/>
          <w:color w:val="141414"/>
          <w:sz w:val="21"/>
          <w:szCs w:val="21"/>
        </w:rPr>
      </w:pPr>
      <w:r w:rsidRPr="00221F81">
        <w:rPr>
          <w:rFonts w:ascii="Calibri" w:hAnsi="Calibri" w:cstheme="majorHAnsi"/>
          <w:color w:val="141414"/>
          <w:sz w:val="21"/>
          <w:szCs w:val="21"/>
        </w:rPr>
        <w:t>T</w:t>
      </w:r>
      <w:r w:rsidRPr="00221F81">
        <w:rPr>
          <w:rFonts w:ascii="Calibri" w:eastAsia="Lato" w:hAnsi="Calibri" w:cstheme="majorHAnsi"/>
          <w:color w:val="141414"/>
          <w:sz w:val="21"/>
          <w:szCs w:val="21"/>
        </w:rPr>
        <w:t xml:space="preserve">he </w:t>
      </w:r>
      <w:r w:rsidRPr="00221F81">
        <w:rPr>
          <w:rFonts w:ascii="Calibri" w:eastAsia="Lato" w:hAnsi="Calibri" w:cstheme="majorHAnsi"/>
          <w:b/>
          <w:color w:val="141414"/>
          <w:sz w:val="21"/>
          <w:szCs w:val="21"/>
        </w:rPr>
        <w:t>Florida School Counselor Association</w:t>
      </w:r>
      <w:r w:rsidR="004B3D3A" w:rsidRPr="00221F81">
        <w:rPr>
          <w:rFonts w:ascii="Calibri" w:eastAsia="Lato" w:hAnsi="Calibri" w:cstheme="majorHAnsi"/>
          <w:b/>
          <w:color w:val="141414"/>
          <w:sz w:val="21"/>
          <w:szCs w:val="21"/>
        </w:rPr>
        <w:t xml:space="preserve"> </w:t>
      </w:r>
      <w:r w:rsidR="004B3D3A" w:rsidRPr="00221F81">
        <w:rPr>
          <w:rFonts w:ascii="Calibri" w:eastAsia="Lato" w:hAnsi="Calibri" w:cstheme="majorHAnsi"/>
          <w:color w:val="141414"/>
          <w:sz w:val="21"/>
          <w:szCs w:val="21"/>
        </w:rPr>
        <w:t>(</w:t>
      </w:r>
      <w:r w:rsidR="00AC6D88" w:rsidRPr="00221F81">
        <w:rPr>
          <w:rFonts w:ascii="Calibri" w:eastAsia="Lato" w:hAnsi="Calibri" w:cstheme="majorHAnsi"/>
          <w:color w:val="1155CC"/>
          <w:sz w:val="21"/>
          <w:szCs w:val="21"/>
          <w:u w:val="single"/>
        </w:rPr>
        <w:t>https://www.fla-schoolcounselor.org</w:t>
      </w:r>
      <w:r w:rsidRPr="00221F81">
        <w:rPr>
          <w:rFonts w:ascii="Calibri" w:eastAsia="Lato" w:hAnsi="Calibri" w:cstheme="majorHAnsi"/>
          <w:color w:val="141414"/>
          <w:sz w:val="21"/>
          <w:szCs w:val="21"/>
        </w:rPr>
        <w:t>) expands the image and influence of school counselors through advocacy, leadership, collaboration, and system change at the state level.  FSCA empowers school counselors with the knowledge, skills, connections, and resources to promote equity, access to high-qualit</w:t>
      </w:r>
      <w:r w:rsidR="00606FC9" w:rsidRPr="00221F81">
        <w:rPr>
          <w:rFonts w:ascii="Calibri" w:eastAsia="Lato" w:hAnsi="Calibri" w:cstheme="majorHAnsi"/>
          <w:color w:val="141414"/>
          <w:sz w:val="21"/>
          <w:szCs w:val="21"/>
        </w:rPr>
        <w:t xml:space="preserve">y education and overall </w:t>
      </w:r>
      <w:r w:rsidRPr="00221F81">
        <w:rPr>
          <w:rFonts w:ascii="Calibri" w:eastAsia="Lato" w:hAnsi="Calibri" w:cstheme="majorHAnsi"/>
          <w:color w:val="141414"/>
          <w:sz w:val="21"/>
          <w:szCs w:val="21"/>
        </w:rPr>
        <w:t>success in school</w:t>
      </w:r>
      <w:r w:rsidR="00606FC9" w:rsidRPr="00221F81">
        <w:rPr>
          <w:rFonts w:ascii="Calibri" w:eastAsia="Lato" w:hAnsi="Calibri" w:cstheme="majorHAnsi"/>
          <w:color w:val="141414"/>
          <w:sz w:val="21"/>
          <w:szCs w:val="21"/>
        </w:rPr>
        <w:t xml:space="preserve"> for all students in the realms of academics, social and emotional and career needs</w:t>
      </w:r>
      <w:r w:rsidRPr="00221F81">
        <w:rPr>
          <w:rFonts w:ascii="Calibri" w:eastAsia="Lato" w:hAnsi="Calibri" w:cstheme="majorHAnsi"/>
          <w:color w:val="141414"/>
          <w:sz w:val="21"/>
          <w:szCs w:val="21"/>
        </w:rPr>
        <w:t>.  The mission of FSCA is to represent school counselors and to promote professionalism and ethical practices among Florida school counselors.</w:t>
      </w:r>
      <w:r w:rsidR="004B3D3A" w:rsidRPr="00221F81">
        <w:rPr>
          <w:rFonts w:ascii="Calibri" w:eastAsia="Lato" w:hAnsi="Calibri" w:cstheme="majorHAnsi"/>
          <w:color w:val="141414"/>
          <w:sz w:val="21"/>
          <w:szCs w:val="21"/>
        </w:rPr>
        <w:t xml:space="preserve"> </w:t>
      </w:r>
    </w:p>
    <w:p w14:paraId="4A336FD9" w14:textId="77777777" w:rsidR="00BB135E" w:rsidRPr="009448B8" w:rsidRDefault="00BB135E" w:rsidP="00AC6D88">
      <w:pPr>
        <w:ind w:right="-18"/>
        <w:jc w:val="both"/>
        <w:rPr>
          <w:rFonts w:ascii="Calibri" w:hAnsi="Calibri" w:cstheme="majorHAnsi"/>
          <w:sz w:val="18"/>
          <w:szCs w:val="21"/>
        </w:rPr>
      </w:pPr>
    </w:p>
    <w:p w14:paraId="3256C7A0" w14:textId="5CB92946" w:rsidR="00BB135E" w:rsidRPr="00221F81" w:rsidRDefault="00E34A56" w:rsidP="00AC6D88">
      <w:pPr>
        <w:ind w:right="-18"/>
        <w:jc w:val="both"/>
        <w:rPr>
          <w:rFonts w:ascii="Calibri" w:eastAsia="Lato" w:hAnsi="Calibri" w:cstheme="majorHAnsi"/>
          <w:sz w:val="21"/>
          <w:szCs w:val="21"/>
        </w:rPr>
      </w:pPr>
      <w:r w:rsidRPr="00221F81">
        <w:rPr>
          <w:rFonts w:ascii="Calibri" w:eastAsia="Lato" w:hAnsi="Calibri" w:cstheme="majorHAnsi"/>
          <w:sz w:val="21"/>
          <w:szCs w:val="21"/>
        </w:rPr>
        <w:t xml:space="preserve">The </w:t>
      </w:r>
      <w:r w:rsidRPr="00221F81">
        <w:rPr>
          <w:rFonts w:ascii="Calibri" w:eastAsia="Lato" w:hAnsi="Calibri" w:cstheme="majorHAnsi"/>
          <w:b/>
          <w:sz w:val="21"/>
          <w:szCs w:val="21"/>
        </w:rPr>
        <w:t xml:space="preserve">Florida Association of School Psychologists </w:t>
      </w:r>
      <w:r w:rsidR="00AC6D88" w:rsidRPr="00221F81">
        <w:rPr>
          <w:rFonts w:ascii="Calibri" w:eastAsia="Lato" w:hAnsi="Calibri" w:cstheme="majorHAnsi"/>
          <w:color w:val="1155CC"/>
          <w:sz w:val="21"/>
          <w:szCs w:val="21"/>
        </w:rPr>
        <w:t>(</w:t>
      </w:r>
      <w:r w:rsidR="00AC6D88" w:rsidRPr="00221F81">
        <w:rPr>
          <w:rFonts w:ascii="Calibri" w:eastAsia="Lato" w:hAnsi="Calibri" w:cstheme="majorHAnsi"/>
          <w:color w:val="1155CC"/>
          <w:sz w:val="21"/>
          <w:szCs w:val="21"/>
          <w:u w:val="single"/>
        </w:rPr>
        <w:t>http://fasp.org</w:t>
      </w:r>
      <w:r w:rsidRPr="00221F81">
        <w:rPr>
          <w:rFonts w:ascii="Calibri" w:eastAsia="Lato" w:hAnsi="Calibri" w:cstheme="majorHAnsi"/>
          <w:sz w:val="21"/>
          <w:szCs w:val="21"/>
        </w:rPr>
        <w:t>) seeks to further public knowledge of the field of school psychology and to empower practitioners across the state.  FASP promotes ongoing professional development, state- and national-level public policy advocacy efforts, and collaboration among educational stakeholders to improve students’ learning, behavior, and mental health.  The mission of FASP is to advocate for the mental health and educational development of Florida’s children, youth, and families and to advance the profession of school psychology.</w:t>
      </w:r>
    </w:p>
    <w:p w14:paraId="46351F44" w14:textId="77777777" w:rsidR="00BB135E" w:rsidRPr="009448B8" w:rsidRDefault="00BB135E" w:rsidP="00AC6D88">
      <w:pPr>
        <w:ind w:right="-18"/>
        <w:jc w:val="both"/>
        <w:rPr>
          <w:rFonts w:ascii="Calibri" w:eastAsia="Lato" w:hAnsi="Calibri" w:cstheme="majorHAnsi"/>
          <w:sz w:val="18"/>
          <w:szCs w:val="21"/>
        </w:rPr>
      </w:pPr>
    </w:p>
    <w:p w14:paraId="7EFD3AE2" w14:textId="2E74CD37" w:rsidR="00905111" w:rsidRPr="00221F81" w:rsidRDefault="00E34A56" w:rsidP="00AC6D88">
      <w:pPr>
        <w:ind w:right="-18"/>
        <w:jc w:val="both"/>
        <w:rPr>
          <w:rFonts w:ascii="Calibri" w:eastAsia="Lato" w:hAnsi="Calibri" w:cstheme="majorHAnsi"/>
          <w:color w:val="141414"/>
          <w:sz w:val="21"/>
          <w:szCs w:val="21"/>
        </w:rPr>
      </w:pPr>
      <w:r w:rsidRPr="00221F81">
        <w:rPr>
          <w:rFonts w:ascii="Calibri" w:eastAsia="Lato" w:hAnsi="Calibri" w:cstheme="majorHAnsi"/>
          <w:sz w:val="21"/>
          <w:szCs w:val="21"/>
        </w:rPr>
        <w:t xml:space="preserve">The </w:t>
      </w:r>
      <w:r w:rsidRPr="00221F81">
        <w:rPr>
          <w:rFonts w:ascii="Calibri" w:eastAsia="Lato" w:hAnsi="Calibri" w:cstheme="majorHAnsi"/>
          <w:b/>
          <w:sz w:val="21"/>
          <w:szCs w:val="21"/>
        </w:rPr>
        <w:t>Florida Association of School Social Workers</w:t>
      </w:r>
      <w:r w:rsidR="004B3D3A" w:rsidRPr="00221F81">
        <w:rPr>
          <w:rFonts w:ascii="Calibri" w:eastAsia="Lato" w:hAnsi="Calibri" w:cstheme="majorHAnsi"/>
          <w:color w:val="141414"/>
          <w:sz w:val="21"/>
          <w:szCs w:val="21"/>
        </w:rPr>
        <w:t xml:space="preserve"> </w:t>
      </w:r>
      <w:r w:rsidR="004B3D3A" w:rsidRPr="00221F81">
        <w:rPr>
          <w:rFonts w:ascii="Calibri" w:eastAsia="Lato" w:hAnsi="Calibri" w:cstheme="majorHAnsi"/>
          <w:color w:val="1155CC"/>
          <w:sz w:val="21"/>
          <w:szCs w:val="21"/>
        </w:rPr>
        <w:t>(</w:t>
      </w:r>
      <w:hyperlink r:id="rId11" w:history="1">
        <w:r w:rsidR="004B3D3A" w:rsidRPr="00221F81">
          <w:rPr>
            <w:rStyle w:val="Hyperlink"/>
            <w:rFonts w:ascii="Calibri" w:eastAsia="Lato" w:hAnsi="Calibri" w:cstheme="majorHAnsi"/>
            <w:sz w:val="21"/>
            <w:szCs w:val="21"/>
          </w:rPr>
          <w:t>https://www.fassw.org</w:t>
        </w:r>
        <w:r w:rsidRPr="00221F81">
          <w:rPr>
            <w:rStyle w:val="Hyperlink"/>
            <w:rFonts w:ascii="Calibri" w:eastAsia="Lato" w:hAnsi="Calibri" w:cstheme="majorHAnsi"/>
            <w:sz w:val="21"/>
            <w:szCs w:val="21"/>
          </w:rPr>
          <w:t>)</w:t>
        </w:r>
      </w:hyperlink>
      <w:r w:rsidRPr="00221F81">
        <w:rPr>
          <w:rFonts w:ascii="Calibri" w:eastAsia="Lato" w:hAnsi="Calibri" w:cstheme="majorHAnsi"/>
          <w:sz w:val="21"/>
          <w:szCs w:val="21"/>
        </w:rPr>
        <w:t xml:space="preserve"> </w:t>
      </w:r>
      <w:r w:rsidRPr="00221F81">
        <w:rPr>
          <w:rFonts w:ascii="Calibri" w:eastAsia="Lato" w:hAnsi="Calibri" w:cstheme="majorHAnsi"/>
          <w:color w:val="141414"/>
          <w:sz w:val="21"/>
          <w:szCs w:val="21"/>
        </w:rPr>
        <w:t>empowers school social workers serving children in man</w:t>
      </w:r>
      <w:r w:rsidR="008F4E25" w:rsidRPr="00221F81">
        <w:rPr>
          <w:rFonts w:ascii="Calibri" w:eastAsia="Lato" w:hAnsi="Calibri" w:cstheme="majorHAnsi"/>
          <w:color w:val="141414"/>
          <w:sz w:val="21"/>
          <w:szCs w:val="21"/>
        </w:rPr>
        <w:t>y unique and diverse roles in a</w:t>
      </w:r>
      <w:r w:rsidRPr="00221F81">
        <w:rPr>
          <w:rFonts w:ascii="Calibri" w:eastAsia="Lato" w:hAnsi="Calibri" w:cstheme="majorHAnsi"/>
          <w:color w:val="141414"/>
          <w:sz w:val="21"/>
          <w:szCs w:val="21"/>
        </w:rPr>
        <w:t xml:space="preserve"> variety of educational settings, while </w:t>
      </w:r>
      <w:r w:rsidRPr="00221F81">
        <w:rPr>
          <w:rFonts w:ascii="Calibri" w:eastAsia="Lato" w:hAnsi="Calibri" w:cstheme="majorHAnsi"/>
          <w:color w:val="222A35"/>
          <w:sz w:val="21"/>
          <w:szCs w:val="21"/>
        </w:rPr>
        <w:t xml:space="preserve">advocating for the educational and social welfare of children.  </w:t>
      </w:r>
      <w:r w:rsidRPr="00221F81">
        <w:rPr>
          <w:rFonts w:ascii="Calibri" w:eastAsia="Lato" w:hAnsi="Calibri" w:cstheme="majorHAnsi"/>
          <w:color w:val="141414"/>
          <w:sz w:val="21"/>
          <w:szCs w:val="21"/>
        </w:rPr>
        <w:t xml:space="preserve"> </w:t>
      </w:r>
      <w:r w:rsidRPr="00221F81">
        <w:rPr>
          <w:rFonts w:ascii="Calibri" w:eastAsia="Lato" w:hAnsi="Calibri" w:cstheme="majorHAnsi"/>
          <w:color w:val="222A35"/>
          <w:sz w:val="21"/>
          <w:szCs w:val="21"/>
        </w:rPr>
        <w:t>FASSW strives to provide a vehicle for social policy change and be an advocate for the profession through community and legislative efforts.</w:t>
      </w:r>
      <w:r w:rsidRPr="00221F81">
        <w:rPr>
          <w:rFonts w:ascii="Calibri" w:eastAsia="Lato" w:hAnsi="Calibri" w:cstheme="majorHAnsi"/>
          <w:color w:val="141414"/>
          <w:sz w:val="21"/>
          <w:szCs w:val="21"/>
        </w:rPr>
        <w:t xml:space="preserve">  The mission of the FASSW is to promote the profession of school social work and enhance the professional growth and development of school social workers throughout the State of Florida in order to more effectively </w:t>
      </w:r>
      <w:r w:rsidR="0084745F" w:rsidRPr="00221F81">
        <w:rPr>
          <w:rFonts w:ascii="Calibri" w:eastAsia="Lato" w:hAnsi="Calibri" w:cstheme="majorHAnsi"/>
          <w:color w:val="141414"/>
          <w:sz w:val="21"/>
          <w:szCs w:val="21"/>
        </w:rPr>
        <w:t>meet the needs of all children.</w:t>
      </w:r>
    </w:p>
    <w:sectPr w:rsidR="00905111" w:rsidRPr="00221F81" w:rsidSect="00347EC4">
      <w:pgSz w:w="12240" w:h="15840"/>
      <w:pgMar w:top="446" w:right="864" w:bottom="432" w:left="86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3A74" w14:textId="77777777" w:rsidR="00134B8B" w:rsidRDefault="00134B8B" w:rsidP="00F740CA">
      <w:pPr>
        <w:spacing w:line="240" w:lineRule="auto"/>
      </w:pPr>
      <w:r>
        <w:separator/>
      </w:r>
    </w:p>
  </w:endnote>
  <w:endnote w:type="continuationSeparator" w:id="0">
    <w:p w14:paraId="2239586A" w14:textId="77777777" w:rsidR="00134B8B" w:rsidRDefault="00134B8B" w:rsidP="00F740CA">
      <w:pPr>
        <w:spacing w:line="240" w:lineRule="auto"/>
      </w:pPr>
      <w:r>
        <w:continuationSeparator/>
      </w:r>
    </w:p>
  </w:endnote>
  <w:endnote w:id="1">
    <w:p w14:paraId="50A6293F" w14:textId="0C9D9877" w:rsidR="00F740CA" w:rsidRPr="009448B8" w:rsidRDefault="00F740CA">
      <w:pPr>
        <w:pStyle w:val="EndnoteText"/>
        <w:rPr>
          <w:rFonts w:asciiTheme="majorHAnsi" w:hAnsiTheme="majorHAnsi" w:cstheme="majorHAnsi"/>
          <w:lang w:val="en-US"/>
        </w:rPr>
      </w:pPr>
      <w:r w:rsidRPr="009448B8">
        <w:rPr>
          <w:rStyle w:val="EndnoteReference"/>
          <w:rFonts w:asciiTheme="majorHAnsi" w:hAnsiTheme="majorHAnsi" w:cstheme="majorHAnsi"/>
        </w:rPr>
        <w:endnoteRef/>
      </w:r>
      <w:r w:rsidRPr="009448B8">
        <w:rPr>
          <w:rFonts w:asciiTheme="majorHAnsi" w:hAnsiTheme="majorHAnsi" w:cstheme="majorHAnsi"/>
        </w:rPr>
        <w:t xml:space="preserve"> </w:t>
      </w:r>
      <w:r w:rsidRPr="000D4F63">
        <w:rPr>
          <w:rFonts w:asciiTheme="majorHAnsi" w:hAnsiTheme="majorHAnsi" w:cstheme="majorHAnsi"/>
          <w:color w:val="222222"/>
          <w:shd w:val="clear" w:color="auto" w:fill="FFFFFF"/>
        </w:rPr>
        <w:t>United States</w:t>
      </w:r>
      <w:r w:rsidRPr="009448B8">
        <w:rPr>
          <w:rFonts w:asciiTheme="majorHAnsi" w:hAnsiTheme="majorHAnsi" w:cstheme="majorHAnsi"/>
          <w:color w:val="222222"/>
          <w:shd w:val="clear" w:color="auto" w:fill="FFFFFF"/>
        </w:rPr>
        <w:t xml:space="preserve"> Surgeon General’s Repor</w:t>
      </w:r>
      <w:r w:rsidRPr="000D4F63">
        <w:rPr>
          <w:rFonts w:asciiTheme="majorHAnsi" w:hAnsiTheme="majorHAnsi" w:cstheme="majorHAnsi"/>
          <w:color w:val="222222"/>
          <w:shd w:val="clear" w:color="auto" w:fill="FFFFFF"/>
        </w:rPr>
        <w:t>t on Children’s Mental Health,</w:t>
      </w:r>
      <w:r w:rsidRPr="009448B8">
        <w:rPr>
          <w:rFonts w:asciiTheme="majorHAnsi" w:hAnsiTheme="majorHAnsi" w:cstheme="majorHAnsi"/>
          <w:color w:val="222222"/>
          <w:shd w:val="clear" w:color="auto" w:fill="FFFFFF"/>
        </w:rPr>
        <w:t xml:space="preserve"> 1999</w:t>
      </w:r>
      <w:r>
        <w:rPr>
          <w:rFonts w:asciiTheme="majorHAnsi" w:hAnsiTheme="majorHAnsi" w:cstheme="majorHAnsi"/>
          <w:color w:val="222222"/>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auto"/>
    <w:pitch w:val="variable"/>
    <w:sig w:usb0="00000000" w:usb1="5000A1FF" w:usb2="00000000" w:usb3="00000000" w:csb0="000001BF" w:csb1="00000000"/>
  </w:font>
  <w:font w:name="Lato">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0843" w14:textId="77777777" w:rsidR="00134B8B" w:rsidRDefault="00134B8B" w:rsidP="00F740CA">
      <w:pPr>
        <w:spacing w:line="240" w:lineRule="auto"/>
      </w:pPr>
      <w:r>
        <w:separator/>
      </w:r>
    </w:p>
  </w:footnote>
  <w:footnote w:type="continuationSeparator" w:id="0">
    <w:p w14:paraId="7335F291" w14:textId="77777777" w:rsidR="00134B8B" w:rsidRDefault="00134B8B" w:rsidP="00F740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CE0"/>
    <w:multiLevelType w:val="multilevel"/>
    <w:tmpl w:val="AA46D9AE"/>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896092D"/>
    <w:multiLevelType w:val="multilevel"/>
    <w:tmpl w:val="D966BE0A"/>
    <w:lvl w:ilvl="0">
      <w:start w:val="1"/>
      <w:numFmt w:val="decimal"/>
      <w:lvlText w:val="%1."/>
      <w:lvlJc w:val="left"/>
      <w:pPr>
        <w:ind w:left="2340" w:hanging="360"/>
      </w:pPr>
      <w:rPr>
        <w:u w:val="none"/>
      </w:rPr>
    </w:lvl>
    <w:lvl w:ilvl="1">
      <w:start w:val="1"/>
      <w:numFmt w:val="lowerLetter"/>
      <w:lvlText w:val="%2."/>
      <w:lvlJc w:val="left"/>
      <w:pPr>
        <w:ind w:left="3060" w:hanging="360"/>
      </w:pPr>
      <w:rPr>
        <w:u w:val="none"/>
      </w:rPr>
    </w:lvl>
    <w:lvl w:ilvl="2">
      <w:start w:val="1"/>
      <w:numFmt w:val="lowerRoman"/>
      <w:lvlText w:val="%3."/>
      <w:lvlJc w:val="right"/>
      <w:pPr>
        <w:ind w:left="3780" w:hanging="360"/>
      </w:pPr>
      <w:rPr>
        <w:u w:val="none"/>
      </w:rPr>
    </w:lvl>
    <w:lvl w:ilvl="3">
      <w:start w:val="1"/>
      <w:numFmt w:val="decimal"/>
      <w:lvlText w:val="%4."/>
      <w:lvlJc w:val="left"/>
      <w:pPr>
        <w:ind w:left="4500" w:hanging="360"/>
      </w:pPr>
      <w:rPr>
        <w:u w:val="none"/>
      </w:rPr>
    </w:lvl>
    <w:lvl w:ilvl="4">
      <w:start w:val="1"/>
      <w:numFmt w:val="lowerLetter"/>
      <w:lvlText w:val="%5."/>
      <w:lvlJc w:val="left"/>
      <w:pPr>
        <w:ind w:left="5220" w:hanging="360"/>
      </w:pPr>
      <w:rPr>
        <w:u w:val="none"/>
      </w:rPr>
    </w:lvl>
    <w:lvl w:ilvl="5">
      <w:start w:val="1"/>
      <w:numFmt w:val="lowerRoman"/>
      <w:lvlText w:val="%6."/>
      <w:lvlJc w:val="right"/>
      <w:pPr>
        <w:ind w:left="5940" w:hanging="360"/>
      </w:pPr>
      <w:rPr>
        <w:u w:val="none"/>
      </w:rPr>
    </w:lvl>
    <w:lvl w:ilvl="6">
      <w:start w:val="1"/>
      <w:numFmt w:val="decimal"/>
      <w:lvlText w:val="%7."/>
      <w:lvlJc w:val="left"/>
      <w:pPr>
        <w:ind w:left="6660" w:hanging="360"/>
      </w:pPr>
      <w:rPr>
        <w:u w:val="none"/>
      </w:rPr>
    </w:lvl>
    <w:lvl w:ilvl="7">
      <w:start w:val="1"/>
      <w:numFmt w:val="lowerLetter"/>
      <w:lvlText w:val="%8."/>
      <w:lvlJc w:val="left"/>
      <w:pPr>
        <w:ind w:left="7380" w:hanging="360"/>
      </w:pPr>
      <w:rPr>
        <w:u w:val="none"/>
      </w:rPr>
    </w:lvl>
    <w:lvl w:ilvl="8">
      <w:start w:val="1"/>
      <w:numFmt w:val="lowerRoman"/>
      <w:lvlText w:val="%9."/>
      <w:lvlJc w:val="right"/>
      <w:pPr>
        <w:ind w:left="8100" w:hanging="360"/>
      </w:pPr>
      <w:rPr>
        <w:u w:val="none"/>
      </w:rPr>
    </w:lvl>
  </w:abstractNum>
  <w:abstractNum w:abstractNumId="2" w15:restartNumberingAfterBreak="0">
    <w:nsid w:val="0D0532E6"/>
    <w:multiLevelType w:val="hybridMultilevel"/>
    <w:tmpl w:val="AB1CF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0E6D"/>
    <w:multiLevelType w:val="hybridMultilevel"/>
    <w:tmpl w:val="D7B49184"/>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104B4103"/>
    <w:multiLevelType w:val="hybridMultilevel"/>
    <w:tmpl w:val="9F04F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358BC"/>
    <w:multiLevelType w:val="hybridMultilevel"/>
    <w:tmpl w:val="BC78E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554B"/>
    <w:multiLevelType w:val="hybridMultilevel"/>
    <w:tmpl w:val="C7BE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7084C"/>
    <w:multiLevelType w:val="multilevel"/>
    <w:tmpl w:val="D966BE0A"/>
    <w:lvl w:ilvl="0">
      <w:start w:val="1"/>
      <w:numFmt w:val="decimal"/>
      <w:lvlText w:val="%1."/>
      <w:lvlJc w:val="left"/>
      <w:pPr>
        <w:ind w:left="2340" w:hanging="360"/>
      </w:pPr>
      <w:rPr>
        <w:u w:val="none"/>
      </w:rPr>
    </w:lvl>
    <w:lvl w:ilvl="1">
      <w:start w:val="1"/>
      <w:numFmt w:val="lowerLetter"/>
      <w:lvlText w:val="%2."/>
      <w:lvlJc w:val="left"/>
      <w:pPr>
        <w:ind w:left="3060" w:hanging="360"/>
      </w:pPr>
      <w:rPr>
        <w:u w:val="none"/>
      </w:rPr>
    </w:lvl>
    <w:lvl w:ilvl="2">
      <w:start w:val="1"/>
      <w:numFmt w:val="lowerRoman"/>
      <w:lvlText w:val="%3."/>
      <w:lvlJc w:val="right"/>
      <w:pPr>
        <w:ind w:left="3780" w:hanging="360"/>
      </w:pPr>
      <w:rPr>
        <w:u w:val="none"/>
      </w:rPr>
    </w:lvl>
    <w:lvl w:ilvl="3">
      <w:start w:val="1"/>
      <w:numFmt w:val="decimal"/>
      <w:lvlText w:val="%4."/>
      <w:lvlJc w:val="left"/>
      <w:pPr>
        <w:ind w:left="4500" w:hanging="360"/>
      </w:pPr>
      <w:rPr>
        <w:u w:val="none"/>
      </w:rPr>
    </w:lvl>
    <w:lvl w:ilvl="4">
      <w:start w:val="1"/>
      <w:numFmt w:val="lowerLetter"/>
      <w:lvlText w:val="%5."/>
      <w:lvlJc w:val="left"/>
      <w:pPr>
        <w:ind w:left="5220" w:hanging="360"/>
      </w:pPr>
      <w:rPr>
        <w:u w:val="none"/>
      </w:rPr>
    </w:lvl>
    <w:lvl w:ilvl="5">
      <w:start w:val="1"/>
      <w:numFmt w:val="lowerRoman"/>
      <w:lvlText w:val="%6."/>
      <w:lvlJc w:val="right"/>
      <w:pPr>
        <w:ind w:left="5940" w:hanging="360"/>
      </w:pPr>
      <w:rPr>
        <w:u w:val="none"/>
      </w:rPr>
    </w:lvl>
    <w:lvl w:ilvl="6">
      <w:start w:val="1"/>
      <w:numFmt w:val="decimal"/>
      <w:lvlText w:val="%7."/>
      <w:lvlJc w:val="left"/>
      <w:pPr>
        <w:ind w:left="6660" w:hanging="360"/>
      </w:pPr>
      <w:rPr>
        <w:u w:val="none"/>
      </w:rPr>
    </w:lvl>
    <w:lvl w:ilvl="7">
      <w:start w:val="1"/>
      <w:numFmt w:val="lowerLetter"/>
      <w:lvlText w:val="%8."/>
      <w:lvlJc w:val="left"/>
      <w:pPr>
        <w:ind w:left="7380" w:hanging="360"/>
      </w:pPr>
      <w:rPr>
        <w:u w:val="none"/>
      </w:rPr>
    </w:lvl>
    <w:lvl w:ilvl="8">
      <w:start w:val="1"/>
      <w:numFmt w:val="lowerRoman"/>
      <w:lvlText w:val="%9."/>
      <w:lvlJc w:val="right"/>
      <w:pPr>
        <w:ind w:left="8100" w:hanging="360"/>
      </w:pPr>
      <w:rPr>
        <w:u w:val="none"/>
      </w:rPr>
    </w:lvl>
  </w:abstractNum>
  <w:abstractNum w:abstractNumId="8" w15:restartNumberingAfterBreak="0">
    <w:nsid w:val="228502D5"/>
    <w:multiLevelType w:val="hybridMultilevel"/>
    <w:tmpl w:val="82D83B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A72006"/>
    <w:multiLevelType w:val="hybridMultilevel"/>
    <w:tmpl w:val="A1C6B3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FB040A0"/>
    <w:multiLevelType w:val="hybridMultilevel"/>
    <w:tmpl w:val="D9169902"/>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3525048C"/>
    <w:multiLevelType w:val="hybridMultilevel"/>
    <w:tmpl w:val="6D28206A"/>
    <w:lvl w:ilvl="0" w:tplc="CAC6BB88">
      <w:start w:val="1"/>
      <w:numFmt w:val="decimal"/>
      <w:lvlText w:val="%1."/>
      <w:lvlJc w:val="left"/>
      <w:pPr>
        <w:ind w:left="630" w:hanging="360"/>
      </w:pPr>
      <w:rPr>
        <w:rFonts w:asciiTheme="majorHAnsi" w:hAnsiTheme="majorHAnsi" w:cstheme="majorHAns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5431806"/>
    <w:multiLevelType w:val="hybridMultilevel"/>
    <w:tmpl w:val="9C1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36122"/>
    <w:multiLevelType w:val="hybridMultilevel"/>
    <w:tmpl w:val="1F6849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683C"/>
    <w:multiLevelType w:val="hybridMultilevel"/>
    <w:tmpl w:val="0CB4AF0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4EC06F29"/>
    <w:multiLevelType w:val="hybridMultilevel"/>
    <w:tmpl w:val="646A8F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E09C0"/>
    <w:multiLevelType w:val="multilevel"/>
    <w:tmpl w:val="D966BE0A"/>
    <w:lvl w:ilvl="0">
      <w:start w:val="1"/>
      <w:numFmt w:val="decimal"/>
      <w:lvlText w:val="%1."/>
      <w:lvlJc w:val="left"/>
      <w:pPr>
        <w:ind w:left="2340" w:hanging="360"/>
      </w:pPr>
      <w:rPr>
        <w:u w:val="none"/>
      </w:rPr>
    </w:lvl>
    <w:lvl w:ilvl="1">
      <w:start w:val="1"/>
      <w:numFmt w:val="lowerLetter"/>
      <w:lvlText w:val="%2."/>
      <w:lvlJc w:val="left"/>
      <w:pPr>
        <w:ind w:left="3060" w:hanging="360"/>
      </w:pPr>
      <w:rPr>
        <w:u w:val="none"/>
      </w:rPr>
    </w:lvl>
    <w:lvl w:ilvl="2">
      <w:start w:val="1"/>
      <w:numFmt w:val="lowerRoman"/>
      <w:lvlText w:val="%3."/>
      <w:lvlJc w:val="right"/>
      <w:pPr>
        <w:ind w:left="3780" w:hanging="360"/>
      </w:pPr>
      <w:rPr>
        <w:u w:val="none"/>
      </w:rPr>
    </w:lvl>
    <w:lvl w:ilvl="3">
      <w:start w:val="1"/>
      <w:numFmt w:val="decimal"/>
      <w:lvlText w:val="%4."/>
      <w:lvlJc w:val="left"/>
      <w:pPr>
        <w:ind w:left="4500" w:hanging="360"/>
      </w:pPr>
      <w:rPr>
        <w:u w:val="none"/>
      </w:rPr>
    </w:lvl>
    <w:lvl w:ilvl="4">
      <w:start w:val="1"/>
      <w:numFmt w:val="lowerLetter"/>
      <w:lvlText w:val="%5."/>
      <w:lvlJc w:val="left"/>
      <w:pPr>
        <w:ind w:left="5220" w:hanging="360"/>
      </w:pPr>
      <w:rPr>
        <w:u w:val="none"/>
      </w:rPr>
    </w:lvl>
    <w:lvl w:ilvl="5">
      <w:start w:val="1"/>
      <w:numFmt w:val="lowerRoman"/>
      <w:lvlText w:val="%6."/>
      <w:lvlJc w:val="right"/>
      <w:pPr>
        <w:ind w:left="5940" w:hanging="360"/>
      </w:pPr>
      <w:rPr>
        <w:u w:val="none"/>
      </w:rPr>
    </w:lvl>
    <w:lvl w:ilvl="6">
      <w:start w:val="1"/>
      <w:numFmt w:val="decimal"/>
      <w:lvlText w:val="%7."/>
      <w:lvlJc w:val="left"/>
      <w:pPr>
        <w:ind w:left="6660" w:hanging="360"/>
      </w:pPr>
      <w:rPr>
        <w:u w:val="none"/>
      </w:rPr>
    </w:lvl>
    <w:lvl w:ilvl="7">
      <w:start w:val="1"/>
      <w:numFmt w:val="lowerLetter"/>
      <w:lvlText w:val="%8."/>
      <w:lvlJc w:val="left"/>
      <w:pPr>
        <w:ind w:left="7380" w:hanging="360"/>
      </w:pPr>
      <w:rPr>
        <w:u w:val="none"/>
      </w:rPr>
    </w:lvl>
    <w:lvl w:ilvl="8">
      <w:start w:val="1"/>
      <w:numFmt w:val="lowerRoman"/>
      <w:lvlText w:val="%9."/>
      <w:lvlJc w:val="right"/>
      <w:pPr>
        <w:ind w:left="8100" w:hanging="360"/>
      </w:pPr>
      <w:rPr>
        <w:u w:val="none"/>
      </w:rPr>
    </w:lvl>
  </w:abstractNum>
  <w:abstractNum w:abstractNumId="17" w15:restartNumberingAfterBreak="0">
    <w:nsid w:val="645439BB"/>
    <w:multiLevelType w:val="hybridMultilevel"/>
    <w:tmpl w:val="E12CFC3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8" w15:restartNumberingAfterBreak="0">
    <w:nsid w:val="67AF6B65"/>
    <w:multiLevelType w:val="multilevel"/>
    <w:tmpl w:val="BA70086C"/>
    <w:lvl w:ilvl="0">
      <w:start w:val="1"/>
      <w:numFmt w:val="bullet"/>
      <w:lvlText w:val="o"/>
      <w:lvlJc w:val="left"/>
      <w:pPr>
        <w:ind w:left="2340" w:hanging="360"/>
      </w:pPr>
      <w:rPr>
        <w:rFonts w:ascii="Courier New" w:hAnsi="Courier New" w:cs="Courier New" w:hint="default"/>
        <w:u w:val="none"/>
      </w:rPr>
    </w:lvl>
    <w:lvl w:ilvl="1">
      <w:start w:val="1"/>
      <w:numFmt w:val="lowerLetter"/>
      <w:lvlText w:val="%2."/>
      <w:lvlJc w:val="left"/>
      <w:pPr>
        <w:ind w:left="3060" w:hanging="360"/>
      </w:pPr>
      <w:rPr>
        <w:u w:val="none"/>
      </w:rPr>
    </w:lvl>
    <w:lvl w:ilvl="2">
      <w:start w:val="1"/>
      <w:numFmt w:val="lowerRoman"/>
      <w:lvlText w:val="%3."/>
      <w:lvlJc w:val="right"/>
      <w:pPr>
        <w:ind w:left="3780" w:hanging="360"/>
      </w:pPr>
      <w:rPr>
        <w:u w:val="none"/>
      </w:rPr>
    </w:lvl>
    <w:lvl w:ilvl="3">
      <w:start w:val="1"/>
      <w:numFmt w:val="decimal"/>
      <w:lvlText w:val="%4."/>
      <w:lvlJc w:val="left"/>
      <w:pPr>
        <w:ind w:left="4500" w:hanging="360"/>
      </w:pPr>
      <w:rPr>
        <w:u w:val="none"/>
      </w:rPr>
    </w:lvl>
    <w:lvl w:ilvl="4">
      <w:start w:val="1"/>
      <w:numFmt w:val="lowerLetter"/>
      <w:lvlText w:val="%5."/>
      <w:lvlJc w:val="left"/>
      <w:pPr>
        <w:ind w:left="5220" w:hanging="360"/>
      </w:pPr>
      <w:rPr>
        <w:u w:val="none"/>
      </w:rPr>
    </w:lvl>
    <w:lvl w:ilvl="5">
      <w:start w:val="1"/>
      <w:numFmt w:val="lowerRoman"/>
      <w:lvlText w:val="%6."/>
      <w:lvlJc w:val="right"/>
      <w:pPr>
        <w:ind w:left="5940" w:hanging="360"/>
      </w:pPr>
      <w:rPr>
        <w:u w:val="none"/>
      </w:rPr>
    </w:lvl>
    <w:lvl w:ilvl="6">
      <w:start w:val="1"/>
      <w:numFmt w:val="decimal"/>
      <w:lvlText w:val="%7."/>
      <w:lvlJc w:val="left"/>
      <w:pPr>
        <w:ind w:left="6660" w:hanging="360"/>
      </w:pPr>
      <w:rPr>
        <w:u w:val="none"/>
      </w:rPr>
    </w:lvl>
    <w:lvl w:ilvl="7">
      <w:start w:val="1"/>
      <w:numFmt w:val="lowerLetter"/>
      <w:lvlText w:val="%8."/>
      <w:lvlJc w:val="left"/>
      <w:pPr>
        <w:ind w:left="7380" w:hanging="360"/>
      </w:pPr>
      <w:rPr>
        <w:u w:val="none"/>
      </w:rPr>
    </w:lvl>
    <w:lvl w:ilvl="8">
      <w:start w:val="1"/>
      <w:numFmt w:val="lowerRoman"/>
      <w:lvlText w:val="%9."/>
      <w:lvlJc w:val="right"/>
      <w:pPr>
        <w:ind w:left="8100" w:hanging="360"/>
      </w:pPr>
      <w:rPr>
        <w:u w:val="none"/>
      </w:rPr>
    </w:lvl>
  </w:abstractNum>
  <w:abstractNum w:abstractNumId="19" w15:restartNumberingAfterBreak="0">
    <w:nsid w:val="6FDA5836"/>
    <w:multiLevelType w:val="hybridMultilevel"/>
    <w:tmpl w:val="981023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855868"/>
    <w:multiLevelType w:val="hybridMultilevel"/>
    <w:tmpl w:val="8174A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F7A72"/>
    <w:multiLevelType w:val="multilevel"/>
    <w:tmpl w:val="56D0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4"/>
  </w:num>
  <w:num w:numId="4">
    <w:abstractNumId w:val="10"/>
  </w:num>
  <w:num w:numId="5">
    <w:abstractNumId w:val="15"/>
  </w:num>
  <w:num w:numId="6">
    <w:abstractNumId w:val="16"/>
  </w:num>
  <w:num w:numId="7">
    <w:abstractNumId w:val="1"/>
  </w:num>
  <w:num w:numId="8">
    <w:abstractNumId w:val="18"/>
  </w:num>
  <w:num w:numId="9">
    <w:abstractNumId w:val="0"/>
  </w:num>
  <w:num w:numId="10">
    <w:abstractNumId w:val="12"/>
  </w:num>
  <w:num w:numId="11">
    <w:abstractNumId w:val="6"/>
  </w:num>
  <w:num w:numId="12">
    <w:abstractNumId w:val="21"/>
  </w:num>
  <w:num w:numId="13">
    <w:abstractNumId w:val="20"/>
  </w:num>
  <w:num w:numId="14">
    <w:abstractNumId w:val="11"/>
  </w:num>
  <w:num w:numId="15">
    <w:abstractNumId w:val="4"/>
  </w:num>
  <w:num w:numId="16">
    <w:abstractNumId w:val="5"/>
  </w:num>
  <w:num w:numId="17">
    <w:abstractNumId w:val="17"/>
  </w:num>
  <w:num w:numId="18">
    <w:abstractNumId w:val="8"/>
  </w:num>
  <w:num w:numId="19">
    <w:abstractNumId w:val="3"/>
  </w:num>
  <w:num w:numId="20">
    <w:abstractNumId w:val="2"/>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5E"/>
    <w:rsid w:val="000A016D"/>
    <w:rsid w:val="000C6F65"/>
    <w:rsid w:val="000D4F63"/>
    <w:rsid w:val="00131740"/>
    <w:rsid w:val="00134B8B"/>
    <w:rsid w:val="00155BF2"/>
    <w:rsid w:val="001C2E36"/>
    <w:rsid w:val="00221F81"/>
    <w:rsid w:val="00224CBF"/>
    <w:rsid w:val="002A30A6"/>
    <w:rsid w:val="002A5957"/>
    <w:rsid w:val="002B0CD6"/>
    <w:rsid w:val="002C181D"/>
    <w:rsid w:val="003316FD"/>
    <w:rsid w:val="00347EC4"/>
    <w:rsid w:val="00375A22"/>
    <w:rsid w:val="00391A96"/>
    <w:rsid w:val="004B10FA"/>
    <w:rsid w:val="004B3D3A"/>
    <w:rsid w:val="004E5B2B"/>
    <w:rsid w:val="0050125B"/>
    <w:rsid w:val="005700C0"/>
    <w:rsid w:val="005B350C"/>
    <w:rsid w:val="005C57A2"/>
    <w:rsid w:val="005F1B6E"/>
    <w:rsid w:val="00601CC9"/>
    <w:rsid w:val="00606FC9"/>
    <w:rsid w:val="00665D0D"/>
    <w:rsid w:val="006C0A8D"/>
    <w:rsid w:val="00712101"/>
    <w:rsid w:val="007A2295"/>
    <w:rsid w:val="007A5C0D"/>
    <w:rsid w:val="0084745F"/>
    <w:rsid w:val="0086731E"/>
    <w:rsid w:val="008F4E25"/>
    <w:rsid w:val="00905111"/>
    <w:rsid w:val="009448B8"/>
    <w:rsid w:val="009B3C61"/>
    <w:rsid w:val="00A06E8F"/>
    <w:rsid w:val="00AA6BD8"/>
    <w:rsid w:val="00AC6D88"/>
    <w:rsid w:val="00AD4EF2"/>
    <w:rsid w:val="00B02000"/>
    <w:rsid w:val="00B061F1"/>
    <w:rsid w:val="00B07CF1"/>
    <w:rsid w:val="00B12E8D"/>
    <w:rsid w:val="00B356DE"/>
    <w:rsid w:val="00B56C98"/>
    <w:rsid w:val="00B7736E"/>
    <w:rsid w:val="00BB135E"/>
    <w:rsid w:val="00C570E2"/>
    <w:rsid w:val="00C600C8"/>
    <w:rsid w:val="00CA119B"/>
    <w:rsid w:val="00D03465"/>
    <w:rsid w:val="00DA3FAC"/>
    <w:rsid w:val="00DA6A68"/>
    <w:rsid w:val="00DC0CE5"/>
    <w:rsid w:val="00DD6BE3"/>
    <w:rsid w:val="00DE7616"/>
    <w:rsid w:val="00DF018B"/>
    <w:rsid w:val="00E2305C"/>
    <w:rsid w:val="00E34A56"/>
    <w:rsid w:val="00E5133B"/>
    <w:rsid w:val="00E84914"/>
    <w:rsid w:val="00EC1186"/>
    <w:rsid w:val="00EF2544"/>
    <w:rsid w:val="00F33FC5"/>
    <w:rsid w:val="00F740CA"/>
    <w:rsid w:val="00FE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E5D8B"/>
  <w15:docId w15:val="{D7165CEF-FD1B-41BE-9854-64E6C409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4E25"/>
    <w:pPr>
      <w:ind w:left="720"/>
      <w:contextualSpacing/>
    </w:pPr>
  </w:style>
  <w:style w:type="paragraph" w:styleId="NormalWeb">
    <w:name w:val="Normal (Web)"/>
    <w:basedOn w:val="Normal"/>
    <w:uiPriority w:val="99"/>
    <w:semiHidden/>
    <w:unhideWhenUsed/>
    <w:rsid w:val="00A06E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A3F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3FAC"/>
    <w:rPr>
      <w:rFonts w:ascii="Lucida Grande" w:hAnsi="Lucida Grande"/>
      <w:sz w:val="18"/>
      <w:szCs w:val="18"/>
    </w:rPr>
  </w:style>
  <w:style w:type="character" w:styleId="CommentReference">
    <w:name w:val="annotation reference"/>
    <w:basedOn w:val="DefaultParagraphFont"/>
    <w:uiPriority w:val="99"/>
    <w:semiHidden/>
    <w:unhideWhenUsed/>
    <w:rsid w:val="00B56C98"/>
    <w:rPr>
      <w:sz w:val="16"/>
      <w:szCs w:val="16"/>
    </w:rPr>
  </w:style>
  <w:style w:type="paragraph" w:styleId="CommentText">
    <w:name w:val="annotation text"/>
    <w:basedOn w:val="Normal"/>
    <w:link w:val="CommentTextChar"/>
    <w:uiPriority w:val="99"/>
    <w:semiHidden/>
    <w:unhideWhenUsed/>
    <w:rsid w:val="00B56C98"/>
    <w:pPr>
      <w:spacing w:line="240" w:lineRule="auto"/>
    </w:pPr>
    <w:rPr>
      <w:sz w:val="20"/>
      <w:szCs w:val="20"/>
    </w:rPr>
  </w:style>
  <w:style w:type="character" w:customStyle="1" w:styleId="CommentTextChar">
    <w:name w:val="Comment Text Char"/>
    <w:basedOn w:val="DefaultParagraphFont"/>
    <w:link w:val="CommentText"/>
    <w:uiPriority w:val="99"/>
    <w:semiHidden/>
    <w:rsid w:val="00B56C98"/>
    <w:rPr>
      <w:sz w:val="20"/>
      <w:szCs w:val="20"/>
    </w:rPr>
  </w:style>
  <w:style w:type="paragraph" w:styleId="CommentSubject">
    <w:name w:val="annotation subject"/>
    <w:basedOn w:val="CommentText"/>
    <w:next w:val="CommentText"/>
    <w:link w:val="CommentSubjectChar"/>
    <w:uiPriority w:val="99"/>
    <w:semiHidden/>
    <w:unhideWhenUsed/>
    <w:rsid w:val="00B56C98"/>
    <w:rPr>
      <w:b/>
      <w:bCs/>
    </w:rPr>
  </w:style>
  <w:style w:type="character" w:customStyle="1" w:styleId="CommentSubjectChar">
    <w:name w:val="Comment Subject Char"/>
    <w:basedOn w:val="CommentTextChar"/>
    <w:link w:val="CommentSubject"/>
    <w:uiPriority w:val="99"/>
    <w:semiHidden/>
    <w:rsid w:val="00B56C98"/>
    <w:rPr>
      <w:b/>
      <w:bCs/>
      <w:sz w:val="20"/>
      <w:szCs w:val="20"/>
    </w:rPr>
  </w:style>
  <w:style w:type="paragraph" w:styleId="Revision">
    <w:name w:val="Revision"/>
    <w:hidden/>
    <w:uiPriority w:val="99"/>
    <w:semiHidden/>
    <w:rsid w:val="00712101"/>
    <w:pPr>
      <w:spacing w:line="240" w:lineRule="auto"/>
    </w:pPr>
  </w:style>
  <w:style w:type="character" w:styleId="Hyperlink">
    <w:name w:val="Hyperlink"/>
    <w:basedOn w:val="DefaultParagraphFont"/>
    <w:uiPriority w:val="99"/>
    <w:unhideWhenUsed/>
    <w:rsid w:val="00221F81"/>
    <w:rPr>
      <w:color w:val="0000FF" w:themeColor="hyperlink"/>
      <w:u w:val="single"/>
    </w:rPr>
  </w:style>
  <w:style w:type="character" w:styleId="FollowedHyperlink">
    <w:name w:val="FollowedHyperlink"/>
    <w:basedOn w:val="DefaultParagraphFont"/>
    <w:uiPriority w:val="99"/>
    <w:semiHidden/>
    <w:unhideWhenUsed/>
    <w:rsid w:val="00221F81"/>
    <w:rPr>
      <w:color w:val="800080" w:themeColor="followedHyperlink"/>
      <w:u w:val="single"/>
    </w:rPr>
  </w:style>
  <w:style w:type="paragraph" w:styleId="EndnoteText">
    <w:name w:val="endnote text"/>
    <w:basedOn w:val="Normal"/>
    <w:link w:val="EndnoteTextChar"/>
    <w:uiPriority w:val="99"/>
    <w:semiHidden/>
    <w:unhideWhenUsed/>
    <w:rsid w:val="00F740CA"/>
    <w:pPr>
      <w:spacing w:line="240" w:lineRule="auto"/>
    </w:pPr>
    <w:rPr>
      <w:sz w:val="20"/>
      <w:szCs w:val="20"/>
    </w:rPr>
  </w:style>
  <w:style w:type="character" w:customStyle="1" w:styleId="EndnoteTextChar">
    <w:name w:val="Endnote Text Char"/>
    <w:basedOn w:val="DefaultParagraphFont"/>
    <w:link w:val="EndnoteText"/>
    <w:uiPriority w:val="99"/>
    <w:semiHidden/>
    <w:rsid w:val="00F740CA"/>
    <w:rPr>
      <w:sz w:val="20"/>
      <w:szCs w:val="20"/>
    </w:rPr>
  </w:style>
  <w:style w:type="character" w:styleId="EndnoteReference">
    <w:name w:val="endnote reference"/>
    <w:basedOn w:val="DefaultParagraphFont"/>
    <w:uiPriority w:val="99"/>
    <w:semiHidden/>
    <w:unhideWhenUsed/>
    <w:rsid w:val="00F74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48548">
      <w:bodyDiv w:val="1"/>
      <w:marLeft w:val="0"/>
      <w:marRight w:val="0"/>
      <w:marTop w:val="0"/>
      <w:marBottom w:val="0"/>
      <w:divBdr>
        <w:top w:val="none" w:sz="0" w:space="0" w:color="auto"/>
        <w:left w:val="none" w:sz="0" w:space="0" w:color="auto"/>
        <w:bottom w:val="none" w:sz="0" w:space="0" w:color="auto"/>
        <w:right w:val="none" w:sz="0" w:space="0" w:color="auto"/>
      </w:divBdr>
    </w:div>
    <w:div w:id="179320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ssw.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8027-844E-F443-B17B-AFE05F72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Beth A.</dc:creator>
  <cp:lastModifiedBy>Beth Jenkins</cp:lastModifiedBy>
  <cp:revision>2</cp:revision>
  <cp:lastPrinted>2018-05-22T23:15:00Z</cp:lastPrinted>
  <dcterms:created xsi:type="dcterms:W3CDTF">2018-06-06T20:10:00Z</dcterms:created>
  <dcterms:modified xsi:type="dcterms:W3CDTF">2018-06-06T20:10:00Z</dcterms:modified>
</cp:coreProperties>
</file>